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A10DB" w14:textId="13B060F5" w:rsidR="004F5409" w:rsidRPr="00CE1124" w:rsidRDefault="00EF4066" w:rsidP="006B7C1E">
      <w:pPr>
        <w:pStyle w:val="Heading1"/>
      </w:pPr>
      <w:r>
        <w:rPr>
          <w:noProof/>
        </w:rPr>
        <w:t>Eligibility</w:t>
      </w:r>
      <w:bookmarkStart w:id="0" w:name="_GoBack"/>
      <w:bookmarkEnd w:id="0"/>
      <w:r>
        <w:rPr>
          <w:noProof/>
        </w:rPr>
        <w:t xml:space="preserve"> Guidel</w:t>
      </w:r>
      <w:r w:rsidR="004A596F">
        <w:rPr>
          <w:noProof/>
        </w:rPr>
        <w:t>ine</w:t>
      </w:r>
      <w:r>
        <w:rPr>
          <w:noProof/>
        </w:rPr>
        <w:t xml:space="preserve">s for the </w:t>
      </w:r>
    </w:p>
    <w:p w14:paraId="4A1AE5D9" w14:textId="3156EF9D" w:rsidR="008A2DC2" w:rsidRPr="006B7C1E" w:rsidRDefault="00C73075" w:rsidP="006B7C1E">
      <w:pPr>
        <w:pStyle w:val="Heading1"/>
        <w:spacing w:after="240"/>
      </w:pPr>
      <w:r w:rsidRPr="00CE1124">
        <w:t>2019</w:t>
      </w:r>
      <w:r w:rsidR="004F5409" w:rsidRPr="00CE1124">
        <w:t xml:space="preserve"> </w:t>
      </w:r>
      <w:r w:rsidR="00EF4066">
        <w:t>Federal Quota Registration of Blind Students</w:t>
      </w:r>
    </w:p>
    <w:p w14:paraId="1D52CECA" w14:textId="634C7A89" w:rsidR="007F5A74" w:rsidRPr="006B7C1E" w:rsidRDefault="007F5A74" w:rsidP="006B7C1E">
      <w:pPr>
        <w:spacing w:after="240"/>
        <w:outlineLvl w:val="0"/>
        <w:rPr>
          <w:rFonts w:ascii="Arial" w:hAnsi="Arial" w:cs="Arial"/>
          <w:smallCaps/>
        </w:rPr>
      </w:pPr>
      <w:r w:rsidRPr="00CE1124">
        <w:rPr>
          <w:rFonts w:ascii="Arial" w:hAnsi="Arial" w:cs="Arial"/>
        </w:rPr>
        <w:t xml:space="preserve">Each infant, preschool, or school-aged student </w:t>
      </w:r>
      <w:r w:rsidR="00C73075" w:rsidRPr="00CE1124">
        <w:rPr>
          <w:rFonts w:ascii="Arial" w:hAnsi="Arial" w:cs="Arial"/>
        </w:rPr>
        <w:t>are required to</w:t>
      </w:r>
      <w:r w:rsidRPr="00CE1124">
        <w:rPr>
          <w:rFonts w:ascii="Arial" w:hAnsi="Arial" w:cs="Arial"/>
        </w:rPr>
        <w:t xml:space="preserve"> have a signed parent permission form signed by the parent to be registered in the Federal Quota program</w:t>
      </w:r>
      <w:r w:rsidR="00C73075" w:rsidRPr="00CE1124">
        <w:rPr>
          <w:rFonts w:ascii="Arial" w:hAnsi="Arial" w:cs="Arial"/>
        </w:rPr>
        <w:t xml:space="preserve">. </w:t>
      </w:r>
      <w:r w:rsidRPr="00CE1124">
        <w:rPr>
          <w:rFonts w:ascii="Arial" w:hAnsi="Arial" w:cs="Arial"/>
        </w:rPr>
        <w:t>If a student is an adult (18 or older) and his or her own guardian, you do not have to get parent permission</w:t>
      </w:r>
      <w:r w:rsidR="00C73075" w:rsidRPr="00CE1124">
        <w:rPr>
          <w:rFonts w:ascii="Arial" w:hAnsi="Arial" w:cs="Arial"/>
        </w:rPr>
        <w:t xml:space="preserve">. </w:t>
      </w:r>
      <w:r w:rsidRPr="00CE1124">
        <w:rPr>
          <w:rFonts w:ascii="Arial" w:hAnsi="Arial" w:cs="Arial"/>
        </w:rPr>
        <w:t>In these cases, if the student is subject to FERPA and IDEA, the student will need to provide permission for release of personally identifiable information (PII).</w:t>
      </w:r>
    </w:p>
    <w:p w14:paraId="7F4A47C0" w14:textId="29DE8DE9" w:rsidR="004F5409" w:rsidRPr="00CE1124" w:rsidRDefault="004F5409" w:rsidP="006B7C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E1124">
        <w:rPr>
          <w:rFonts w:ascii="Arial" w:hAnsi="Arial" w:cs="Arial"/>
        </w:rPr>
        <w:t xml:space="preserve">In order for students to be eligible for registration in the Federal Quota Program, they </w:t>
      </w:r>
      <w:r w:rsidR="00CE1124">
        <w:rPr>
          <w:rFonts w:ascii="Arial" w:hAnsi="Arial" w:cs="Arial"/>
        </w:rPr>
        <w:t>must</w:t>
      </w:r>
      <w:r w:rsidRPr="00CE1124">
        <w:rPr>
          <w:rFonts w:ascii="Arial" w:hAnsi="Arial" w:cs="Arial"/>
        </w:rPr>
        <w:t xml:space="preserve"> meet the</w:t>
      </w:r>
      <w:r w:rsidR="00052689" w:rsidRPr="00CE1124">
        <w:rPr>
          <w:rFonts w:ascii="Arial" w:hAnsi="Arial" w:cs="Arial"/>
        </w:rPr>
        <w:t xml:space="preserve"> </w:t>
      </w:r>
      <w:r w:rsidRPr="00CE1124">
        <w:rPr>
          <w:rFonts w:ascii="Arial" w:hAnsi="Arial" w:cs="Arial"/>
        </w:rPr>
        <w:t xml:space="preserve">requirements as outlined in the </w:t>
      </w:r>
      <w:r w:rsidRPr="00CE1124">
        <w:rPr>
          <w:rFonts w:ascii="Arial" w:hAnsi="Arial" w:cs="Arial"/>
          <w:i/>
        </w:rPr>
        <w:t>Act to Promote the Education of the Blind</w:t>
      </w:r>
      <w:r w:rsidRPr="00CE1124">
        <w:rPr>
          <w:rFonts w:ascii="Arial" w:hAnsi="Arial" w:cs="Arial"/>
        </w:rPr>
        <w:t>. Students must meet one of the</w:t>
      </w:r>
      <w:r w:rsidR="00052689" w:rsidRPr="00CE1124">
        <w:rPr>
          <w:rFonts w:ascii="Arial" w:hAnsi="Arial" w:cs="Arial"/>
        </w:rPr>
        <w:t xml:space="preserve"> </w:t>
      </w:r>
      <w:r w:rsidRPr="00CE1124">
        <w:rPr>
          <w:rFonts w:ascii="Arial" w:hAnsi="Arial" w:cs="Arial"/>
        </w:rPr>
        <w:t>following two categories:</w:t>
      </w:r>
    </w:p>
    <w:p w14:paraId="53352F6C" w14:textId="20B7AE6B" w:rsidR="0085629B" w:rsidRPr="00CC0F5A" w:rsidRDefault="004F5409" w:rsidP="00A932D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</w:rPr>
      </w:pPr>
      <w:r w:rsidRPr="00CC0F5A">
        <w:rPr>
          <w:rFonts w:ascii="Arial" w:hAnsi="Arial" w:cs="Arial"/>
        </w:rPr>
        <w:t>Meets the Definition of Blindness (MDB) - have a central visual acuity of 20/200 or less in the better eye with</w:t>
      </w:r>
      <w:r w:rsidR="00CE1124" w:rsidRPr="00CC0F5A">
        <w:rPr>
          <w:rFonts w:ascii="Arial" w:hAnsi="Arial" w:cs="Arial"/>
        </w:rPr>
        <w:t xml:space="preserve"> </w:t>
      </w:r>
      <w:r w:rsidRPr="00CC0F5A">
        <w:rPr>
          <w:rFonts w:ascii="Arial" w:hAnsi="Arial" w:cs="Arial"/>
        </w:rPr>
        <w:t>best correction (using the Snellen Chart) or a visual field of 20 degrees or less.</w:t>
      </w:r>
    </w:p>
    <w:p w14:paraId="6C794547" w14:textId="6156BB34" w:rsidR="004F5409" w:rsidRPr="00CC0F5A" w:rsidRDefault="004F5409" w:rsidP="00A932D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CC0F5A">
        <w:rPr>
          <w:rFonts w:ascii="Arial" w:hAnsi="Arial" w:cs="Arial"/>
        </w:rPr>
        <w:t>Functions a</w:t>
      </w:r>
      <w:r w:rsidR="00B24FE0" w:rsidRPr="00CC0F5A">
        <w:rPr>
          <w:rFonts w:ascii="Arial" w:hAnsi="Arial" w:cs="Arial"/>
        </w:rPr>
        <w:t>t the Definition of Blindness (</w:t>
      </w:r>
      <w:r w:rsidRPr="00CC0F5A">
        <w:rPr>
          <w:rFonts w:ascii="Arial" w:hAnsi="Arial" w:cs="Arial"/>
        </w:rPr>
        <w:t>FDB) - when visual function meets the definition of blindness as</w:t>
      </w:r>
      <w:r w:rsidR="00CE1124" w:rsidRPr="00CC0F5A">
        <w:rPr>
          <w:rFonts w:ascii="Arial" w:hAnsi="Arial" w:cs="Arial"/>
        </w:rPr>
        <w:t xml:space="preserve"> </w:t>
      </w:r>
      <w:r w:rsidRPr="00CC0F5A">
        <w:rPr>
          <w:rFonts w:ascii="Arial" w:hAnsi="Arial" w:cs="Arial"/>
        </w:rPr>
        <w:t xml:space="preserve">determined by an eye care specialist (ophthalmologist or optometrist) or other medical doctor such as </w:t>
      </w:r>
      <w:r w:rsidR="00CE1124" w:rsidRPr="00CC0F5A">
        <w:rPr>
          <w:rFonts w:ascii="Arial" w:hAnsi="Arial" w:cs="Arial"/>
        </w:rPr>
        <w:t xml:space="preserve">a </w:t>
      </w:r>
      <w:r w:rsidRPr="00CC0F5A">
        <w:rPr>
          <w:rFonts w:ascii="Arial" w:hAnsi="Arial" w:cs="Arial"/>
        </w:rPr>
        <w:t>neurologist. Students in this category manifest unique visual characteristics often found in conditions referred to</w:t>
      </w:r>
      <w:r w:rsidR="00CE1124" w:rsidRPr="00CC0F5A">
        <w:rPr>
          <w:rFonts w:ascii="Arial" w:hAnsi="Arial" w:cs="Arial"/>
        </w:rPr>
        <w:t xml:space="preserve"> </w:t>
      </w:r>
      <w:r w:rsidRPr="00CC0F5A">
        <w:rPr>
          <w:rFonts w:ascii="Arial" w:hAnsi="Arial" w:cs="Arial"/>
        </w:rPr>
        <w:t>as neurological, cortical, or cerebral visual impairment (e.g., brain injury or dysfunction).</w:t>
      </w:r>
    </w:p>
    <w:p w14:paraId="22BED0D6" w14:textId="16CFF617" w:rsidR="004F5409" w:rsidRPr="00A932D2" w:rsidRDefault="00CE1124" w:rsidP="00A932D2">
      <w:pPr>
        <w:pStyle w:val="ListParagraph"/>
        <w:widowControl w:val="0"/>
        <w:autoSpaceDE w:val="0"/>
        <w:autoSpaceDN w:val="0"/>
        <w:adjustRightInd w:val="0"/>
        <w:spacing w:after="120"/>
        <w:ind w:left="540"/>
        <w:jc w:val="center"/>
        <w:rPr>
          <w:rFonts w:ascii="Arial" w:hAnsi="Arial" w:cs="Arial"/>
        </w:rPr>
      </w:pPr>
      <w:r w:rsidRPr="00A932D2">
        <w:rPr>
          <w:rFonts w:ascii="Arial" w:hAnsi="Arial" w:cs="Arial"/>
        </w:rPr>
        <w:t>and</w:t>
      </w:r>
    </w:p>
    <w:p w14:paraId="0D5E71EB" w14:textId="15AD93BE" w:rsidR="004F5409" w:rsidRPr="00CC0F5A" w:rsidRDefault="004F5409" w:rsidP="00A932D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</w:rPr>
      </w:pPr>
      <w:r w:rsidRPr="00CC0F5A">
        <w:rPr>
          <w:rFonts w:ascii="Arial" w:hAnsi="Arial" w:cs="Arial"/>
        </w:rPr>
        <w:t>Be enrolled in a formally organized public or private, nonprofit educational program of less than college level.</w:t>
      </w:r>
    </w:p>
    <w:p w14:paraId="21F039F8" w14:textId="040757D4" w:rsidR="00AD556F" w:rsidRPr="00CC0F5A" w:rsidRDefault="004F5409" w:rsidP="00A932D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C0F5A">
        <w:rPr>
          <w:rFonts w:ascii="Arial" w:hAnsi="Arial" w:cs="Arial"/>
        </w:rPr>
        <w:t xml:space="preserve">School-age students must be enrolled with the registering school or agency on the first </w:t>
      </w:r>
      <w:r w:rsidR="00CE1124" w:rsidRPr="00CC0F5A">
        <w:rPr>
          <w:rFonts w:ascii="Arial" w:hAnsi="Arial" w:cs="Arial"/>
        </w:rPr>
        <w:t>Wednesday</w:t>
      </w:r>
      <w:r w:rsidRPr="00CC0F5A">
        <w:rPr>
          <w:rFonts w:ascii="Arial" w:hAnsi="Arial" w:cs="Arial"/>
        </w:rPr>
        <w:t xml:space="preserve"> in January.</w:t>
      </w:r>
    </w:p>
    <w:p w14:paraId="6C439FBD" w14:textId="255F6CAF" w:rsidR="00AD556F" w:rsidRPr="00CE1124" w:rsidRDefault="004F5409" w:rsidP="00CC0F5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E1124">
        <w:rPr>
          <w:rFonts w:ascii="Arial" w:hAnsi="Arial" w:cs="Arial"/>
        </w:rPr>
        <w:t>The educational programs providing services to these students can include public, private, and parochial schools.</w:t>
      </w:r>
      <w:r w:rsidR="00CF5C24" w:rsidRPr="00CE1124">
        <w:rPr>
          <w:rFonts w:ascii="Arial" w:hAnsi="Arial" w:cs="Arial"/>
        </w:rPr>
        <w:t xml:space="preserve"> The school district of attendance reports each student who is legally blind.</w:t>
      </w:r>
    </w:p>
    <w:p w14:paraId="6F70087E" w14:textId="4FC53BA8" w:rsidR="00AD556F" w:rsidRPr="00CE1124" w:rsidRDefault="00AD556F" w:rsidP="00CC0F5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E1124">
        <w:rPr>
          <w:rFonts w:ascii="Arial" w:hAnsi="Arial" w:cs="Arial"/>
        </w:rPr>
        <w:t>T</w:t>
      </w:r>
      <w:r w:rsidR="004F5409" w:rsidRPr="00CE1124">
        <w:rPr>
          <w:rFonts w:ascii="Arial" w:hAnsi="Arial" w:cs="Arial"/>
        </w:rPr>
        <w:t xml:space="preserve">here is </w:t>
      </w:r>
      <w:r w:rsidR="00CE1124" w:rsidRPr="00CE1124">
        <w:rPr>
          <w:rFonts w:ascii="Arial" w:hAnsi="Arial" w:cs="Arial"/>
        </w:rPr>
        <w:t>no</w:t>
      </w:r>
      <w:r w:rsidR="004F5409" w:rsidRPr="00CE1124">
        <w:rPr>
          <w:rFonts w:ascii="Arial" w:hAnsi="Arial" w:cs="Arial"/>
        </w:rPr>
        <w:t xml:space="preserve"> chronological age limit for eligibility. The federal law limits registration to persons working at less</w:t>
      </w:r>
      <w:r w:rsidR="00CE1124" w:rsidRPr="00CE1124">
        <w:rPr>
          <w:rFonts w:ascii="Arial" w:hAnsi="Arial" w:cs="Arial"/>
        </w:rPr>
        <w:t xml:space="preserve"> </w:t>
      </w:r>
      <w:r w:rsidR="004F5409" w:rsidRPr="00CE1124">
        <w:rPr>
          <w:rFonts w:ascii="Arial" w:hAnsi="Arial" w:cs="Arial"/>
        </w:rPr>
        <w:t>than college level, but places no restriction on the ages of eligible students.</w:t>
      </w:r>
    </w:p>
    <w:p w14:paraId="3437B7BB" w14:textId="10C6D83D" w:rsidR="004F5409" w:rsidRPr="00CE1124" w:rsidRDefault="004F5409" w:rsidP="00AD55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E1124">
        <w:rPr>
          <w:rFonts w:ascii="Arial" w:hAnsi="Arial" w:cs="Arial"/>
        </w:rPr>
        <w:t>Eligibility of Adults. Eligible adult students (over 21 years of age) are those who meet the definition of blindness</w:t>
      </w:r>
      <w:r w:rsidR="00CE1124" w:rsidRPr="00CE1124">
        <w:rPr>
          <w:rFonts w:ascii="Arial" w:hAnsi="Arial" w:cs="Arial"/>
        </w:rPr>
        <w:t xml:space="preserve"> </w:t>
      </w:r>
      <w:r w:rsidRPr="00CE1124">
        <w:rPr>
          <w:rFonts w:ascii="Arial" w:hAnsi="Arial" w:cs="Arial"/>
        </w:rPr>
        <w:t>and who are enrolled in instructional programs, at less than college level, for 20 documented hours per week.</w:t>
      </w:r>
      <w:r w:rsidR="00CE1124" w:rsidRPr="00CE1124">
        <w:rPr>
          <w:rFonts w:ascii="Arial" w:hAnsi="Arial" w:cs="Arial"/>
        </w:rPr>
        <w:t xml:space="preserve"> </w:t>
      </w:r>
      <w:r w:rsidRPr="00CE1124">
        <w:rPr>
          <w:rFonts w:ascii="Arial" w:hAnsi="Arial" w:cs="Arial"/>
        </w:rPr>
        <w:t xml:space="preserve">Adults with previous college </w:t>
      </w:r>
      <w:r w:rsidR="00CE1124" w:rsidRPr="00CE1124">
        <w:rPr>
          <w:rFonts w:ascii="Arial" w:hAnsi="Arial" w:cs="Arial"/>
        </w:rPr>
        <w:t>e</w:t>
      </w:r>
      <w:r w:rsidRPr="00CE1124">
        <w:rPr>
          <w:rFonts w:ascii="Arial" w:hAnsi="Arial" w:cs="Arial"/>
        </w:rPr>
        <w:t>xperience but not currently enrolled in college may be registered in this category.</w:t>
      </w:r>
    </w:p>
    <w:p w14:paraId="53C5C3BF" w14:textId="77777777" w:rsidR="00CC0F5A" w:rsidRDefault="004F5409" w:rsidP="00AD55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E1124">
        <w:rPr>
          <w:rFonts w:ascii="Arial" w:hAnsi="Arial" w:cs="Arial"/>
        </w:rPr>
        <w:t>Social and leisure programs do not qualify as instruction; however, student practice to develop skills can be</w:t>
      </w:r>
      <w:r w:rsidR="00CE1124" w:rsidRPr="00CE1124">
        <w:rPr>
          <w:rFonts w:ascii="Arial" w:hAnsi="Arial" w:cs="Arial"/>
        </w:rPr>
        <w:t xml:space="preserve"> </w:t>
      </w:r>
      <w:r w:rsidRPr="00CE1124">
        <w:rPr>
          <w:rFonts w:ascii="Arial" w:hAnsi="Arial" w:cs="Arial"/>
        </w:rPr>
        <w:t>included in instructional hours. Students must be enrolled throughout the previous calendar year for at least</w:t>
      </w:r>
      <w:r w:rsidR="00CE1124" w:rsidRPr="00CE1124">
        <w:rPr>
          <w:rFonts w:ascii="Arial" w:hAnsi="Arial" w:cs="Arial"/>
        </w:rPr>
        <w:t xml:space="preserve"> </w:t>
      </w:r>
      <w:r w:rsidRPr="00CE1124">
        <w:rPr>
          <w:rFonts w:ascii="Arial" w:hAnsi="Arial" w:cs="Arial"/>
        </w:rPr>
        <w:t>three months of instruction (an accumulation of 12 weeks); the 12 week</w:t>
      </w:r>
      <w:r w:rsidR="00CF5C24" w:rsidRPr="00CE1124">
        <w:rPr>
          <w:rFonts w:ascii="Arial" w:hAnsi="Arial" w:cs="Arial"/>
        </w:rPr>
        <w:t>s do not have to be consecutive</w:t>
      </w:r>
      <w:r w:rsidRPr="00CE1124">
        <w:rPr>
          <w:rFonts w:ascii="Arial" w:hAnsi="Arial" w:cs="Arial"/>
        </w:rPr>
        <w:t>.</w:t>
      </w:r>
    </w:p>
    <w:p w14:paraId="09A31D62" w14:textId="627A5866" w:rsidR="00AD556F" w:rsidRPr="00CE1124" w:rsidRDefault="004F5409" w:rsidP="00CC0F5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E1124">
        <w:rPr>
          <w:rFonts w:ascii="Arial" w:hAnsi="Arial" w:cs="Arial"/>
        </w:rPr>
        <w:lastRenderedPageBreak/>
        <w:t>Eligibility of Infants, Preschool Children, and Homebound Students. Eligible infants, preschool children, and</w:t>
      </w:r>
      <w:r w:rsidR="00CE1124" w:rsidRPr="00CE1124">
        <w:rPr>
          <w:rFonts w:ascii="Arial" w:hAnsi="Arial" w:cs="Arial"/>
        </w:rPr>
        <w:t xml:space="preserve"> </w:t>
      </w:r>
      <w:r w:rsidRPr="00CE1124">
        <w:rPr>
          <w:rFonts w:ascii="Arial" w:hAnsi="Arial" w:cs="Arial"/>
        </w:rPr>
        <w:t>homebound students can be registered if they are enrolled in a formally organized program and have a written</w:t>
      </w:r>
      <w:r w:rsidR="00CE1124" w:rsidRPr="00CE1124">
        <w:rPr>
          <w:rFonts w:ascii="Arial" w:hAnsi="Arial" w:cs="Arial"/>
        </w:rPr>
        <w:t xml:space="preserve"> </w:t>
      </w:r>
      <w:r w:rsidRPr="00CE1124">
        <w:rPr>
          <w:rFonts w:ascii="Arial" w:hAnsi="Arial" w:cs="Arial"/>
        </w:rPr>
        <w:t>education plan.</w:t>
      </w:r>
    </w:p>
    <w:p w14:paraId="5C874C4B" w14:textId="10B912F7" w:rsidR="00AD556F" w:rsidRPr="00CE1124" w:rsidRDefault="004F5409" w:rsidP="00CC0F5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E1124">
        <w:rPr>
          <w:rFonts w:ascii="Arial" w:hAnsi="Arial" w:cs="Arial"/>
        </w:rPr>
        <w:t xml:space="preserve">Eligibility of Students Who Are Home Schooled. Eligible </w:t>
      </w:r>
      <w:r w:rsidR="00EF4066" w:rsidRPr="00CE1124">
        <w:rPr>
          <w:rFonts w:ascii="Arial" w:hAnsi="Arial" w:cs="Arial"/>
        </w:rPr>
        <w:t>home-schooled</w:t>
      </w:r>
      <w:r w:rsidRPr="00CE1124">
        <w:rPr>
          <w:rFonts w:ascii="Arial" w:hAnsi="Arial" w:cs="Arial"/>
        </w:rPr>
        <w:t xml:space="preserve"> students must meet guidelines and/or</w:t>
      </w:r>
      <w:r w:rsidR="00CE1124" w:rsidRPr="00CE1124">
        <w:rPr>
          <w:rFonts w:ascii="Arial" w:hAnsi="Arial" w:cs="Arial"/>
        </w:rPr>
        <w:t xml:space="preserve"> </w:t>
      </w:r>
      <w:r w:rsidRPr="00CE1124">
        <w:rPr>
          <w:rFonts w:ascii="Arial" w:hAnsi="Arial" w:cs="Arial"/>
        </w:rPr>
        <w:t>procedures in effect within each individual state and have a written education plan.</w:t>
      </w:r>
    </w:p>
    <w:p w14:paraId="43C7C235" w14:textId="10C57519" w:rsidR="00AD556F" w:rsidRPr="00CE1124" w:rsidRDefault="004F5409" w:rsidP="00CC0F5A">
      <w:pPr>
        <w:spacing w:after="240"/>
        <w:rPr>
          <w:rFonts w:ascii="Arial" w:hAnsi="Arial" w:cs="Arial"/>
        </w:rPr>
      </w:pPr>
      <w:r w:rsidRPr="00CE1124">
        <w:rPr>
          <w:rFonts w:ascii="Arial" w:hAnsi="Arial" w:cs="Arial"/>
        </w:rPr>
        <w:t>Primary Language. Report the student’s primary language used for instruction in the classroom.</w:t>
      </w:r>
    </w:p>
    <w:p w14:paraId="7783DEE1" w14:textId="24BA5802" w:rsidR="00AD556F" w:rsidRPr="00CE1124" w:rsidRDefault="00AD556F" w:rsidP="00CC0F5A">
      <w:pPr>
        <w:spacing w:after="240"/>
        <w:rPr>
          <w:rFonts w:ascii="Arial" w:hAnsi="Arial" w:cs="Arial"/>
        </w:rPr>
      </w:pPr>
      <w:r w:rsidRPr="00CE1124">
        <w:rPr>
          <w:rFonts w:ascii="Arial" w:hAnsi="Arial" w:cs="Arial"/>
        </w:rPr>
        <w:t>Students of Armed Services Personnel and those on Reservations who receive funding from the Bureau of Indian Affairs (BIA) can only participate in one federal program.</w:t>
      </w:r>
    </w:p>
    <w:p w14:paraId="3D1EDFBF" w14:textId="33440B87" w:rsidR="008A2DC2" w:rsidRPr="00CE1124" w:rsidRDefault="00AD556F" w:rsidP="00CC0F5A">
      <w:pPr>
        <w:spacing w:after="240"/>
        <w:rPr>
          <w:rFonts w:ascii="Arial" w:hAnsi="Arial" w:cs="Arial"/>
        </w:rPr>
      </w:pPr>
      <w:r w:rsidRPr="00CE1124">
        <w:rPr>
          <w:rFonts w:ascii="Arial" w:hAnsi="Arial" w:cs="Arial"/>
        </w:rPr>
        <w:t>Free Form Entry</w:t>
      </w:r>
      <w:r w:rsidR="00C73075" w:rsidRPr="00CE1124">
        <w:rPr>
          <w:rFonts w:ascii="Arial" w:hAnsi="Arial" w:cs="Arial"/>
        </w:rPr>
        <w:t xml:space="preserve">. </w:t>
      </w:r>
      <w:r w:rsidRPr="00CE1124">
        <w:rPr>
          <w:rFonts w:ascii="Arial" w:hAnsi="Arial" w:cs="Arial"/>
        </w:rPr>
        <w:t>Cross reference twins, triplets, etc. to cut back on possible duplicates.</w:t>
      </w:r>
    </w:p>
    <w:p w14:paraId="18FFA3D4" w14:textId="06EA5410" w:rsidR="008A2DC2" w:rsidRPr="00CC0F5A" w:rsidRDefault="008A2DC2" w:rsidP="00A932D2">
      <w:pPr>
        <w:pStyle w:val="Heading2"/>
      </w:pPr>
      <w:r w:rsidRPr="00EF4066">
        <w:t>D</w:t>
      </w:r>
      <w:r w:rsidR="00CE1124" w:rsidRPr="00EF4066">
        <w:t>efinition</w:t>
      </w:r>
      <w:r w:rsidRPr="00EF4066">
        <w:t xml:space="preserve"> </w:t>
      </w:r>
      <w:r w:rsidR="00CE1124" w:rsidRPr="00EF4066">
        <w:t>of Required Information and Reporting Codes</w:t>
      </w:r>
    </w:p>
    <w:p w14:paraId="0D8CC1CB" w14:textId="3CD78558" w:rsidR="008A2DC2" w:rsidRPr="00CE1124" w:rsidRDefault="00CE1124" w:rsidP="00CC0F5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E1124">
        <w:rPr>
          <w:rFonts w:ascii="Arial" w:hAnsi="Arial" w:cs="Arial"/>
        </w:rPr>
        <w:t>Be sure to use the student’s legal name for registration and requesting materials.</w:t>
      </w:r>
    </w:p>
    <w:p w14:paraId="6BF340DD" w14:textId="77777777" w:rsidR="008A2DC2" w:rsidRPr="00CE1124" w:rsidRDefault="008A2DC2" w:rsidP="008A2D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E1124">
        <w:rPr>
          <w:rFonts w:ascii="Arial" w:hAnsi="Arial" w:cs="Arial"/>
        </w:rPr>
        <w:t>Name of pupil: Report each student’s full name in this order: last name then first name (e.g., Doe John).</w:t>
      </w:r>
    </w:p>
    <w:p w14:paraId="6E0C605C" w14:textId="0734BDFA" w:rsidR="008A2DC2" w:rsidRPr="00CE1124" w:rsidRDefault="008A2DC2" w:rsidP="008A2D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E1124">
        <w:rPr>
          <w:rFonts w:ascii="Arial" w:hAnsi="Arial" w:cs="Arial"/>
        </w:rPr>
        <w:t xml:space="preserve"> </w:t>
      </w:r>
      <w:r w:rsidRPr="00CE1124">
        <w:rPr>
          <w:rFonts w:ascii="Arial" w:hAnsi="Arial" w:cs="Arial"/>
        </w:rPr>
        <w:tab/>
        <w:t xml:space="preserve">Do </w:t>
      </w:r>
      <w:r w:rsidR="00CE1124" w:rsidRPr="00CE1124">
        <w:rPr>
          <w:rFonts w:ascii="Arial" w:hAnsi="Arial" w:cs="Arial"/>
        </w:rPr>
        <w:t>not</w:t>
      </w:r>
      <w:r w:rsidRPr="00CE1124">
        <w:rPr>
          <w:rFonts w:ascii="Arial" w:hAnsi="Arial" w:cs="Arial"/>
        </w:rPr>
        <w:t xml:space="preserve"> report middle initial.</w:t>
      </w:r>
    </w:p>
    <w:p w14:paraId="6BD98FD9" w14:textId="2F835458" w:rsidR="008A2DC2" w:rsidRPr="00CE1124" w:rsidRDefault="008A2DC2" w:rsidP="008A2D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E1124">
        <w:rPr>
          <w:rFonts w:ascii="Arial" w:hAnsi="Arial" w:cs="Arial"/>
        </w:rPr>
        <w:t xml:space="preserve"> </w:t>
      </w:r>
      <w:r w:rsidRPr="00CE1124">
        <w:rPr>
          <w:rFonts w:ascii="Arial" w:hAnsi="Arial" w:cs="Arial"/>
        </w:rPr>
        <w:tab/>
        <w:t xml:space="preserve">Do </w:t>
      </w:r>
      <w:r w:rsidR="00CE1124" w:rsidRPr="00CE1124">
        <w:rPr>
          <w:rFonts w:ascii="Arial" w:hAnsi="Arial" w:cs="Arial"/>
        </w:rPr>
        <w:t>not</w:t>
      </w:r>
      <w:r w:rsidRPr="00CE1124">
        <w:rPr>
          <w:rFonts w:ascii="Arial" w:hAnsi="Arial" w:cs="Arial"/>
        </w:rPr>
        <w:t xml:space="preserve"> submit a name with only the initial of the student’s first name.</w:t>
      </w:r>
    </w:p>
    <w:p w14:paraId="35BA710F" w14:textId="7B83DBD6" w:rsidR="00043606" w:rsidRPr="00CE1124" w:rsidRDefault="008A2DC2" w:rsidP="00CC0F5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E1124">
        <w:rPr>
          <w:rFonts w:ascii="Arial" w:hAnsi="Arial" w:cs="Arial"/>
        </w:rPr>
        <w:t xml:space="preserve"> </w:t>
      </w:r>
      <w:r w:rsidRPr="00CE1124">
        <w:rPr>
          <w:rFonts w:ascii="Arial" w:hAnsi="Arial" w:cs="Arial"/>
        </w:rPr>
        <w:tab/>
        <w:t xml:space="preserve">Do </w:t>
      </w:r>
      <w:r w:rsidR="00CE1124" w:rsidRPr="00CE1124">
        <w:rPr>
          <w:rFonts w:ascii="Arial" w:hAnsi="Arial" w:cs="Arial"/>
        </w:rPr>
        <w:t>not</w:t>
      </w:r>
      <w:r w:rsidRPr="00CE1124">
        <w:rPr>
          <w:rFonts w:ascii="Arial" w:hAnsi="Arial" w:cs="Arial"/>
        </w:rPr>
        <w:t xml:space="preserve"> use punctuation marks.</w:t>
      </w:r>
    </w:p>
    <w:p w14:paraId="4C900FBC" w14:textId="518BD6D9" w:rsidR="008A2DC2" w:rsidRPr="00CE1124" w:rsidRDefault="008A2DC2" w:rsidP="008A2DC2">
      <w:pPr>
        <w:rPr>
          <w:rFonts w:ascii="Arial" w:hAnsi="Arial" w:cs="Arial"/>
        </w:rPr>
      </w:pPr>
      <w:r w:rsidRPr="00CE1124">
        <w:rPr>
          <w:rFonts w:ascii="Arial" w:hAnsi="Arial" w:cs="Arial"/>
        </w:rPr>
        <w:t>Date of birth: Give the student’s date of birth in numbers in this sequence: month, day, year (e.g., 01/02/2012).</w:t>
      </w:r>
    </w:p>
    <w:p w14:paraId="4DB87D7B" w14:textId="77777777" w:rsidR="008A2DC2" w:rsidRPr="00EF4066" w:rsidRDefault="008A2DC2" w:rsidP="00A932D2">
      <w:pPr>
        <w:pStyle w:val="Heading3"/>
      </w:pPr>
      <w:r w:rsidRPr="00EF4066">
        <w:t>Student Grade Placement</w:t>
      </w:r>
    </w:p>
    <w:p w14:paraId="6A0EF6FA" w14:textId="1F12ACBF" w:rsidR="008A2DC2" w:rsidRPr="00CE1124" w:rsidRDefault="008A2DC2" w:rsidP="00CC0F5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E1124">
        <w:rPr>
          <w:rFonts w:ascii="Arial" w:hAnsi="Arial" w:cs="Arial"/>
        </w:rPr>
        <w:t>Please carefully review the chart of student placement categories, being certain the placement reported</w:t>
      </w:r>
      <w:r w:rsidR="00CE1124">
        <w:rPr>
          <w:rFonts w:ascii="Arial" w:hAnsi="Arial" w:cs="Arial"/>
        </w:rPr>
        <w:t xml:space="preserve"> </w:t>
      </w:r>
      <w:r w:rsidRPr="00CE1124">
        <w:rPr>
          <w:rFonts w:ascii="Arial" w:hAnsi="Arial" w:cs="Arial"/>
        </w:rPr>
        <w:t>accurately reflects each student’s placement. Report the grade placement for each student using the appropriate</w:t>
      </w:r>
      <w:r w:rsidR="00CE1124">
        <w:rPr>
          <w:rFonts w:ascii="Arial" w:hAnsi="Arial" w:cs="Arial"/>
        </w:rPr>
        <w:t xml:space="preserve"> </w:t>
      </w:r>
      <w:r w:rsidRPr="00CE1124">
        <w:rPr>
          <w:rFonts w:ascii="Arial" w:hAnsi="Arial" w:cs="Arial"/>
        </w:rPr>
        <w:t>code shown</w:t>
      </w:r>
      <w:r w:rsidR="00C73075" w:rsidRPr="00CE1124">
        <w:rPr>
          <w:rFonts w:ascii="Arial" w:hAnsi="Arial" w:cs="Arial"/>
        </w:rPr>
        <w:t xml:space="preserve">. </w:t>
      </w:r>
      <w:r w:rsidR="00CE1124">
        <w:rPr>
          <w:rFonts w:ascii="Arial" w:hAnsi="Arial" w:cs="Arial"/>
        </w:rPr>
        <w:t>Only these codes will be accepted.</w:t>
      </w:r>
    </w:p>
    <w:p w14:paraId="547B8BB6" w14:textId="5746B000" w:rsidR="008A2DC2" w:rsidRPr="00CE1124" w:rsidRDefault="008A2DC2" w:rsidP="00CC0F5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E1124">
        <w:rPr>
          <w:rFonts w:ascii="Arial" w:hAnsi="Arial" w:cs="Arial"/>
        </w:rPr>
        <w:t xml:space="preserve">Note: Students who exceed school-age as determined by respective state law must be registered as </w:t>
      </w:r>
      <w:r w:rsidR="00CE1124">
        <w:rPr>
          <w:rFonts w:ascii="Arial" w:hAnsi="Arial" w:cs="Arial"/>
        </w:rPr>
        <w:t>an adult student</w:t>
      </w:r>
      <w:r w:rsidRPr="00CE1124">
        <w:rPr>
          <w:rFonts w:ascii="Arial" w:hAnsi="Arial" w:cs="Arial"/>
        </w:rPr>
        <w:t xml:space="preserve"> (Reporting Code “AD”).</w:t>
      </w:r>
    </w:p>
    <w:p w14:paraId="5244E848" w14:textId="7A56ED79" w:rsidR="008A2DC2" w:rsidRPr="00CE1124" w:rsidRDefault="008A2DC2" w:rsidP="00CC0F5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E1124">
        <w:rPr>
          <w:rFonts w:ascii="Arial" w:hAnsi="Arial" w:cs="Arial"/>
        </w:rPr>
        <w:t>Grade Placement Categories and Reporting Codes for</w:t>
      </w:r>
      <w:r w:rsidR="00EF4066">
        <w:rPr>
          <w:rFonts w:ascii="Arial" w:hAnsi="Arial" w:cs="Arial"/>
        </w:rPr>
        <w:t xml:space="preserve"> </w:t>
      </w:r>
      <w:r w:rsidR="00CE1124">
        <w:rPr>
          <w:rFonts w:ascii="Arial" w:hAnsi="Arial" w:cs="Arial"/>
        </w:rPr>
        <w:t>Adult Students</w:t>
      </w:r>
      <w:r w:rsidR="00EF4066">
        <w:rPr>
          <w:rFonts w:ascii="Arial" w:hAnsi="Arial" w:cs="Arial"/>
        </w:rPr>
        <w:t xml:space="preserve"> (</w:t>
      </w:r>
      <w:r w:rsidRPr="00CE1124">
        <w:rPr>
          <w:rFonts w:ascii="Arial" w:hAnsi="Arial" w:cs="Arial"/>
        </w:rPr>
        <w:t xml:space="preserve">This includes </w:t>
      </w:r>
      <w:r w:rsidR="00CE1124">
        <w:rPr>
          <w:rFonts w:ascii="Arial" w:hAnsi="Arial" w:cs="Arial"/>
        </w:rPr>
        <w:t>all</w:t>
      </w:r>
      <w:r w:rsidRPr="00CE1124">
        <w:rPr>
          <w:rFonts w:ascii="Arial" w:hAnsi="Arial" w:cs="Arial"/>
        </w:rPr>
        <w:t xml:space="preserve"> eligible participants </w:t>
      </w:r>
      <w:r w:rsidR="00CE1124">
        <w:rPr>
          <w:rFonts w:ascii="Arial" w:hAnsi="Arial" w:cs="Arial"/>
        </w:rPr>
        <w:t>over</w:t>
      </w:r>
      <w:r w:rsidRPr="00CE1124">
        <w:rPr>
          <w:rFonts w:ascii="Arial" w:hAnsi="Arial" w:cs="Arial"/>
        </w:rPr>
        <w:t xml:space="preserve"> school-age</w:t>
      </w:r>
      <w:r w:rsidR="00EF4066">
        <w:rPr>
          <w:rFonts w:ascii="Arial" w:hAnsi="Arial" w:cs="Aria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5"/>
        <w:gridCol w:w="7635"/>
      </w:tblGrid>
      <w:tr w:rsidR="008A2DC2" w:rsidRPr="00CE1124" w14:paraId="27872459" w14:textId="77777777" w:rsidTr="008A2DC2">
        <w:tc>
          <w:tcPr>
            <w:tcW w:w="1795" w:type="dxa"/>
          </w:tcPr>
          <w:p w14:paraId="388FFB95" w14:textId="77777777" w:rsidR="008A2DC2" w:rsidRPr="00CE1124" w:rsidRDefault="008A2DC2" w:rsidP="008A2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E1124">
              <w:rPr>
                <w:rFonts w:ascii="Arial" w:hAnsi="Arial" w:cs="Arial"/>
                <w:b/>
              </w:rPr>
              <w:t>Reporting Code</w:t>
            </w:r>
          </w:p>
        </w:tc>
        <w:tc>
          <w:tcPr>
            <w:tcW w:w="8995" w:type="dxa"/>
          </w:tcPr>
          <w:p w14:paraId="06B34C6A" w14:textId="77777777" w:rsidR="008A2DC2" w:rsidRPr="00CE1124" w:rsidRDefault="008A2DC2" w:rsidP="008A2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E1124">
              <w:rPr>
                <w:rFonts w:ascii="Arial" w:hAnsi="Arial" w:cs="Arial"/>
                <w:b/>
              </w:rPr>
              <w:t>Definition of Student Placement Categories</w:t>
            </w:r>
          </w:p>
        </w:tc>
      </w:tr>
      <w:tr w:rsidR="008A2DC2" w:rsidRPr="00CE1124" w14:paraId="71F7646C" w14:textId="77777777" w:rsidTr="008A2DC2">
        <w:tc>
          <w:tcPr>
            <w:tcW w:w="1795" w:type="dxa"/>
          </w:tcPr>
          <w:p w14:paraId="068A39C3" w14:textId="77777777" w:rsidR="008A2DC2" w:rsidRPr="00CE1124" w:rsidRDefault="008A2DC2" w:rsidP="008A2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E1124">
              <w:rPr>
                <w:rFonts w:ascii="Arial" w:hAnsi="Arial" w:cs="Arial"/>
              </w:rPr>
              <w:t>AD</w:t>
            </w:r>
          </w:p>
        </w:tc>
        <w:tc>
          <w:tcPr>
            <w:tcW w:w="8995" w:type="dxa"/>
          </w:tcPr>
          <w:p w14:paraId="6551109E" w14:textId="26E96A23" w:rsidR="008A2DC2" w:rsidRPr="00CE1124" w:rsidRDefault="008A2DC2" w:rsidP="00EF40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Adult Students:</w:t>
            </w:r>
            <w:r w:rsidR="00EF4066">
              <w:rPr>
                <w:rFonts w:ascii="Arial" w:hAnsi="Arial" w:cs="Arial"/>
              </w:rPr>
              <w:t xml:space="preserve"> </w:t>
            </w:r>
            <w:r w:rsidRPr="00CE1124">
              <w:rPr>
                <w:rFonts w:ascii="Arial" w:hAnsi="Arial" w:cs="Arial"/>
              </w:rPr>
              <w:t>Adults above school-age, as determined by state law, in educational programs of less than college level.</w:t>
            </w:r>
          </w:p>
        </w:tc>
      </w:tr>
    </w:tbl>
    <w:p w14:paraId="589CF739" w14:textId="587D1686" w:rsidR="008A2DC2" w:rsidRPr="00CE1124" w:rsidRDefault="008A2DC2" w:rsidP="00CC0F5A">
      <w:pPr>
        <w:widowControl w:val="0"/>
        <w:autoSpaceDE w:val="0"/>
        <w:autoSpaceDN w:val="0"/>
        <w:adjustRightInd w:val="0"/>
        <w:spacing w:before="240" w:after="240"/>
        <w:rPr>
          <w:rFonts w:ascii="Arial" w:hAnsi="Arial" w:cs="Arial"/>
        </w:rPr>
      </w:pPr>
      <w:r w:rsidRPr="00EF4066">
        <w:rPr>
          <w:rFonts w:ascii="Arial" w:hAnsi="Arial" w:cs="Arial"/>
        </w:rPr>
        <w:t>Note:</w:t>
      </w:r>
      <w:r w:rsidRPr="00CE1124">
        <w:rPr>
          <w:rFonts w:ascii="Arial" w:hAnsi="Arial" w:cs="Arial"/>
        </w:rPr>
        <w:t xml:space="preserve"> The Federal Government requires that all students above the state’s age/grade </w:t>
      </w:r>
      <w:r w:rsidRPr="00CE1124">
        <w:rPr>
          <w:rFonts w:ascii="Arial" w:hAnsi="Arial" w:cs="Arial"/>
        </w:rPr>
        <w:lastRenderedPageBreak/>
        <w:t>limitation for high school</w:t>
      </w:r>
      <w:r w:rsidR="00EF4066">
        <w:rPr>
          <w:rFonts w:ascii="Arial" w:hAnsi="Arial" w:cs="Arial"/>
        </w:rPr>
        <w:t xml:space="preserve"> </w:t>
      </w:r>
      <w:r w:rsidRPr="00CE1124">
        <w:rPr>
          <w:rFonts w:ascii="Arial" w:hAnsi="Arial" w:cs="Arial"/>
        </w:rPr>
        <w:t>(In Ohio, over 21 years of age per IDEA federal guidelines.) must be registered as adults.</w:t>
      </w:r>
    </w:p>
    <w:p w14:paraId="77D2E00A" w14:textId="35415C32" w:rsidR="0085629B" w:rsidRPr="00CE1124" w:rsidRDefault="008A2DC2" w:rsidP="00CC0F5A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</w:rPr>
      </w:pPr>
      <w:r w:rsidRPr="00CE1124">
        <w:rPr>
          <w:rFonts w:ascii="Arial" w:hAnsi="Arial" w:cs="Arial"/>
        </w:rPr>
        <w:t>Eligible adult students are those who meet the definition of blindness and who are enrolled in instructional</w:t>
      </w:r>
      <w:r w:rsidR="00EF4066">
        <w:rPr>
          <w:rFonts w:ascii="Arial" w:hAnsi="Arial" w:cs="Arial"/>
        </w:rPr>
        <w:t xml:space="preserve"> </w:t>
      </w:r>
      <w:r w:rsidRPr="00CE1124">
        <w:rPr>
          <w:rFonts w:ascii="Arial" w:hAnsi="Arial" w:cs="Arial"/>
        </w:rPr>
        <w:t>programs, at less than college level, for 20 documented hours per week. Adults with previous college experience,</w:t>
      </w:r>
      <w:r w:rsidR="00EF4066">
        <w:rPr>
          <w:rFonts w:ascii="Arial" w:hAnsi="Arial" w:cs="Arial"/>
        </w:rPr>
        <w:t xml:space="preserve"> </w:t>
      </w:r>
      <w:r w:rsidRPr="00CE1124">
        <w:rPr>
          <w:rFonts w:ascii="Arial" w:hAnsi="Arial" w:cs="Arial"/>
        </w:rPr>
        <w:t>but not currently enrolled in college may be registered in this category. Social and leisure programs do not qualify</w:t>
      </w:r>
      <w:r w:rsidR="00EF4066">
        <w:rPr>
          <w:rFonts w:ascii="Arial" w:hAnsi="Arial" w:cs="Arial"/>
        </w:rPr>
        <w:t xml:space="preserve"> </w:t>
      </w:r>
      <w:r w:rsidRPr="00CE1124">
        <w:rPr>
          <w:rFonts w:ascii="Arial" w:hAnsi="Arial" w:cs="Arial"/>
        </w:rPr>
        <w:t>as instruction; however, student practice to develop skills can be included in instructional hours. Students enrolled</w:t>
      </w:r>
      <w:r w:rsidR="00EF4066">
        <w:rPr>
          <w:rFonts w:ascii="Arial" w:hAnsi="Arial" w:cs="Arial"/>
        </w:rPr>
        <w:t xml:space="preserve"> </w:t>
      </w:r>
      <w:r w:rsidRPr="00CE1124">
        <w:rPr>
          <w:rFonts w:ascii="Arial" w:hAnsi="Arial" w:cs="Arial"/>
        </w:rPr>
        <w:t>throughout the previous calendar year for at least three months of instruction (an accumulation of 12 weeks). The</w:t>
      </w:r>
      <w:r w:rsidR="00EF4066">
        <w:rPr>
          <w:rFonts w:ascii="Arial" w:hAnsi="Arial" w:cs="Arial"/>
        </w:rPr>
        <w:t xml:space="preserve"> </w:t>
      </w:r>
      <w:r w:rsidRPr="00CE1124">
        <w:rPr>
          <w:rFonts w:ascii="Arial" w:hAnsi="Arial" w:cs="Arial"/>
        </w:rPr>
        <w:t>12 weeks do not have to be consecutive weeks.</w:t>
      </w:r>
    </w:p>
    <w:p w14:paraId="18C4056A" w14:textId="77777777" w:rsidR="00EF4066" w:rsidRDefault="008A2DC2" w:rsidP="008A2D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E1124">
        <w:rPr>
          <w:rFonts w:ascii="Arial" w:hAnsi="Arial" w:cs="Arial"/>
        </w:rPr>
        <w:t>Grade Placement Categories and Reporting Codes for</w:t>
      </w:r>
      <w:r w:rsidR="00EF4066">
        <w:rPr>
          <w:rFonts w:ascii="Arial" w:hAnsi="Arial" w:cs="Arial"/>
        </w:rPr>
        <w:t xml:space="preserve"> </w:t>
      </w:r>
    </w:p>
    <w:p w14:paraId="787C7AA9" w14:textId="4E867F07" w:rsidR="008A2DC2" w:rsidRPr="00EF4066" w:rsidRDefault="00EF4066" w:rsidP="008A2D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Preschool and School-Age Students</w:t>
      </w:r>
    </w:p>
    <w:p w14:paraId="74A582CF" w14:textId="3985BE42" w:rsidR="008A2DC2" w:rsidRPr="00CE1124" w:rsidRDefault="00EF4066" w:rsidP="00CC0F5A">
      <w:pPr>
        <w:spacing w:after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A2DC2" w:rsidRPr="00CE1124">
        <w:rPr>
          <w:rFonts w:ascii="Arial" w:hAnsi="Arial" w:cs="Arial"/>
        </w:rPr>
        <w:t xml:space="preserve">This includes </w:t>
      </w:r>
      <w:r>
        <w:rPr>
          <w:rFonts w:ascii="Arial" w:hAnsi="Arial" w:cs="Arial"/>
        </w:rPr>
        <w:t>all</w:t>
      </w:r>
      <w:r w:rsidR="008A2DC2" w:rsidRPr="00CE1124">
        <w:rPr>
          <w:rFonts w:ascii="Arial" w:hAnsi="Arial" w:cs="Arial"/>
        </w:rPr>
        <w:t xml:space="preserve"> eligible participants </w:t>
      </w:r>
      <w:r>
        <w:rPr>
          <w:rFonts w:ascii="Arial" w:hAnsi="Arial" w:cs="Arial"/>
        </w:rPr>
        <w:t>over</w:t>
      </w:r>
      <w:r w:rsidR="008A2DC2" w:rsidRPr="00CE1124">
        <w:rPr>
          <w:rFonts w:ascii="Arial" w:hAnsi="Arial" w:cs="Arial"/>
        </w:rPr>
        <w:t xml:space="preserve"> school-age</w:t>
      </w:r>
      <w:r>
        <w:rPr>
          <w:rFonts w:ascii="Arial" w:hAnsi="Arial" w:cs="Aria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7637"/>
      </w:tblGrid>
      <w:tr w:rsidR="008A2DC2" w:rsidRPr="00CE1124" w14:paraId="71C3EE41" w14:textId="77777777" w:rsidTr="00CC2B5C">
        <w:tc>
          <w:tcPr>
            <w:tcW w:w="1795" w:type="dxa"/>
          </w:tcPr>
          <w:p w14:paraId="0C98222F" w14:textId="77777777" w:rsidR="008A2DC2" w:rsidRPr="00CE1124" w:rsidRDefault="008A2DC2" w:rsidP="00CC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E1124">
              <w:rPr>
                <w:rFonts w:ascii="Arial" w:hAnsi="Arial" w:cs="Arial"/>
                <w:b/>
              </w:rPr>
              <w:t>Reporting Code</w:t>
            </w:r>
          </w:p>
        </w:tc>
        <w:tc>
          <w:tcPr>
            <w:tcW w:w="8995" w:type="dxa"/>
          </w:tcPr>
          <w:p w14:paraId="4364169A" w14:textId="77777777" w:rsidR="008A2DC2" w:rsidRPr="00CE1124" w:rsidRDefault="008A2DC2" w:rsidP="00CC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E1124">
              <w:rPr>
                <w:rFonts w:ascii="Arial" w:hAnsi="Arial" w:cs="Arial"/>
                <w:b/>
              </w:rPr>
              <w:t>Definition of Student Placement Categories</w:t>
            </w:r>
          </w:p>
        </w:tc>
      </w:tr>
      <w:tr w:rsidR="008A2DC2" w:rsidRPr="00CE1124" w14:paraId="53C7D9DD" w14:textId="77777777" w:rsidTr="00CC2B5C">
        <w:tc>
          <w:tcPr>
            <w:tcW w:w="1795" w:type="dxa"/>
          </w:tcPr>
          <w:p w14:paraId="04982B6D" w14:textId="77777777" w:rsidR="008A2DC2" w:rsidRPr="00EF4066" w:rsidRDefault="00D36866" w:rsidP="00CC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IP</w:t>
            </w:r>
          </w:p>
        </w:tc>
        <w:tc>
          <w:tcPr>
            <w:tcW w:w="8995" w:type="dxa"/>
          </w:tcPr>
          <w:p w14:paraId="4EBA1516" w14:textId="4F26C2BB" w:rsidR="00D36866" w:rsidRPr="00EF4066" w:rsidRDefault="00D36866" w:rsidP="00EF40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Infants:</w:t>
            </w:r>
            <w:r w:rsidR="00EF4066">
              <w:rPr>
                <w:rFonts w:ascii="Arial" w:hAnsi="Arial" w:cs="Arial"/>
              </w:rPr>
              <w:t xml:space="preserve"> </w:t>
            </w:r>
            <w:r w:rsidRPr="00EF4066">
              <w:rPr>
                <w:rFonts w:ascii="Arial" w:hAnsi="Arial" w:cs="Arial"/>
              </w:rPr>
              <w:t>Children of preschool age served by infant programs.</w:t>
            </w:r>
          </w:p>
        </w:tc>
      </w:tr>
      <w:tr w:rsidR="00D36866" w:rsidRPr="00CE1124" w14:paraId="38230551" w14:textId="77777777" w:rsidTr="00CC2B5C">
        <w:tc>
          <w:tcPr>
            <w:tcW w:w="1795" w:type="dxa"/>
          </w:tcPr>
          <w:p w14:paraId="34FDCA34" w14:textId="77777777" w:rsidR="00D36866" w:rsidRPr="00EF4066" w:rsidRDefault="00D36866" w:rsidP="00CC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PS</w:t>
            </w:r>
          </w:p>
        </w:tc>
        <w:tc>
          <w:tcPr>
            <w:tcW w:w="8995" w:type="dxa"/>
          </w:tcPr>
          <w:p w14:paraId="2FB11944" w14:textId="1837589E" w:rsidR="00D36866" w:rsidRPr="00EF4066" w:rsidRDefault="00D36866" w:rsidP="00EF40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Preschool Students:</w:t>
            </w:r>
            <w:r w:rsidR="00EF4066">
              <w:rPr>
                <w:rFonts w:ascii="Arial" w:hAnsi="Arial" w:cs="Arial"/>
              </w:rPr>
              <w:t xml:space="preserve"> </w:t>
            </w:r>
            <w:r w:rsidRPr="00EF4066">
              <w:rPr>
                <w:rFonts w:ascii="Arial" w:hAnsi="Arial" w:cs="Arial"/>
              </w:rPr>
              <w:t>Children of preschool age served by preschool programs.</w:t>
            </w:r>
          </w:p>
        </w:tc>
      </w:tr>
      <w:tr w:rsidR="00D36866" w:rsidRPr="00CE1124" w14:paraId="45AB8908" w14:textId="77777777" w:rsidTr="00CC2B5C">
        <w:tc>
          <w:tcPr>
            <w:tcW w:w="1795" w:type="dxa"/>
          </w:tcPr>
          <w:p w14:paraId="328FD66F" w14:textId="77777777" w:rsidR="00D36866" w:rsidRPr="00EF4066" w:rsidRDefault="00D36866" w:rsidP="00CC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KG</w:t>
            </w:r>
          </w:p>
        </w:tc>
        <w:tc>
          <w:tcPr>
            <w:tcW w:w="8995" w:type="dxa"/>
          </w:tcPr>
          <w:p w14:paraId="60BCCA58" w14:textId="6619CF26" w:rsidR="00D36866" w:rsidRPr="00EF4066" w:rsidRDefault="00D36866" w:rsidP="00EF40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Kindergarten Students:</w:t>
            </w:r>
            <w:r w:rsidR="00EF4066">
              <w:rPr>
                <w:rFonts w:ascii="Arial" w:hAnsi="Arial" w:cs="Arial"/>
              </w:rPr>
              <w:t xml:space="preserve"> </w:t>
            </w:r>
            <w:r w:rsidRPr="00EF4066">
              <w:rPr>
                <w:rFonts w:ascii="Arial" w:hAnsi="Arial" w:cs="Arial"/>
              </w:rPr>
              <w:t>Children enrolled in kindergarten classes.</w:t>
            </w:r>
          </w:p>
        </w:tc>
      </w:tr>
      <w:tr w:rsidR="00D36866" w:rsidRPr="00CE1124" w14:paraId="61B6B527" w14:textId="77777777" w:rsidTr="00CC2B5C">
        <w:tc>
          <w:tcPr>
            <w:tcW w:w="1795" w:type="dxa"/>
          </w:tcPr>
          <w:p w14:paraId="60B4C36F" w14:textId="77777777" w:rsidR="00D36866" w:rsidRPr="00EF4066" w:rsidRDefault="00D36866" w:rsidP="00CC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01…12</w:t>
            </w:r>
          </w:p>
        </w:tc>
        <w:tc>
          <w:tcPr>
            <w:tcW w:w="8995" w:type="dxa"/>
          </w:tcPr>
          <w:p w14:paraId="5C0FB59A" w14:textId="5B35CAA1" w:rsidR="00D36866" w:rsidRPr="00EF4066" w:rsidRDefault="00D36866" w:rsidP="00EF40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Students of School-age:</w:t>
            </w:r>
            <w:r w:rsidR="00EF4066">
              <w:rPr>
                <w:rFonts w:ascii="Arial" w:hAnsi="Arial" w:cs="Arial"/>
              </w:rPr>
              <w:t xml:space="preserve"> </w:t>
            </w:r>
            <w:r w:rsidRPr="00EF4066">
              <w:rPr>
                <w:rFonts w:ascii="Arial" w:hAnsi="Arial" w:cs="Arial"/>
              </w:rPr>
              <w:t>Determined by state law, in regular academic grades 1 through 12; please indicate grade</w:t>
            </w:r>
            <w:r w:rsidR="00EF4066">
              <w:rPr>
                <w:rFonts w:ascii="Arial" w:hAnsi="Arial" w:cs="Arial"/>
              </w:rPr>
              <w:t xml:space="preserve"> </w:t>
            </w:r>
            <w:r w:rsidRPr="00EF4066">
              <w:rPr>
                <w:rFonts w:ascii="Arial" w:hAnsi="Arial" w:cs="Arial"/>
              </w:rPr>
              <w:t>placement by using numerals 01 through 12.</w:t>
            </w:r>
          </w:p>
        </w:tc>
      </w:tr>
      <w:tr w:rsidR="00D36866" w:rsidRPr="00CE1124" w14:paraId="5B699822" w14:textId="77777777" w:rsidTr="00CC2B5C">
        <w:tc>
          <w:tcPr>
            <w:tcW w:w="1795" w:type="dxa"/>
          </w:tcPr>
          <w:p w14:paraId="39507BB3" w14:textId="77777777" w:rsidR="00D36866" w:rsidRPr="00EF4066" w:rsidRDefault="00D36866" w:rsidP="00CC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AN</w:t>
            </w:r>
          </w:p>
        </w:tc>
        <w:tc>
          <w:tcPr>
            <w:tcW w:w="8995" w:type="dxa"/>
          </w:tcPr>
          <w:p w14:paraId="2FD36229" w14:textId="7F15C7C5" w:rsidR="00D36866" w:rsidRPr="00EF4066" w:rsidRDefault="00D36866" w:rsidP="00EF40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Academic Nongraded:</w:t>
            </w:r>
            <w:r w:rsidR="00EF4066">
              <w:rPr>
                <w:rFonts w:ascii="Arial" w:hAnsi="Arial" w:cs="Arial"/>
              </w:rPr>
              <w:t xml:space="preserve"> </w:t>
            </w:r>
            <w:r w:rsidRPr="00EF4066">
              <w:rPr>
                <w:rFonts w:ascii="Arial" w:hAnsi="Arial" w:cs="Arial"/>
              </w:rPr>
              <w:t>Students of school-age, as determined by state law, who are working to acquire skills</w:t>
            </w:r>
            <w:r w:rsidR="00EF4066">
              <w:rPr>
                <w:rFonts w:ascii="Arial" w:hAnsi="Arial" w:cs="Arial"/>
              </w:rPr>
              <w:t xml:space="preserve"> </w:t>
            </w:r>
            <w:r w:rsidRPr="00EF4066">
              <w:rPr>
                <w:rFonts w:ascii="Arial" w:hAnsi="Arial" w:cs="Arial"/>
              </w:rPr>
              <w:t>necessary for placement in a regular grade.</w:t>
            </w:r>
          </w:p>
        </w:tc>
      </w:tr>
      <w:tr w:rsidR="00D36866" w:rsidRPr="00CE1124" w14:paraId="4124BDB1" w14:textId="77777777" w:rsidTr="00CC2B5C">
        <w:tc>
          <w:tcPr>
            <w:tcW w:w="1795" w:type="dxa"/>
          </w:tcPr>
          <w:p w14:paraId="7CFE3700" w14:textId="77777777" w:rsidR="00D36866" w:rsidRPr="00EF4066" w:rsidRDefault="00D36866" w:rsidP="00CC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FC</w:t>
            </w:r>
          </w:p>
        </w:tc>
        <w:tc>
          <w:tcPr>
            <w:tcW w:w="8995" w:type="dxa"/>
          </w:tcPr>
          <w:p w14:paraId="1E79C91A" w14:textId="1C81BCC9" w:rsidR="00D36866" w:rsidRPr="00EF4066" w:rsidRDefault="00D36866" w:rsidP="00EF40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Functional Curriculum Students:</w:t>
            </w:r>
            <w:r w:rsidR="00EF4066">
              <w:rPr>
                <w:rFonts w:ascii="Arial" w:hAnsi="Arial" w:cs="Arial"/>
              </w:rPr>
              <w:t xml:space="preserve"> </w:t>
            </w:r>
            <w:r w:rsidRPr="00EF4066">
              <w:rPr>
                <w:rFonts w:ascii="Arial" w:hAnsi="Arial" w:cs="Arial"/>
              </w:rPr>
              <w:t>Students in grades 01-12 working toward a graduation certificate or non-traditional</w:t>
            </w:r>
            <w:r w:rsidR="00EF4066">
              <w:rPr>
                <w:rFonts w:ascii="Arial" w:hAnsi="Arial" w:cs="Arial"/>
              </w:rPr>
              <w:t xml:space="preserve"> </w:t>
            </w:r>
            <w:r w:rsidRPr="00EF4066">
              <w:rPr>
                <w:rFonts w:ascii="Arial" w:hAnsi="Arial" w:cs="Arial"/>
              </w:rPr>
              <w:t>diploma.</w:t>
            </w:r>
          </w:p>
        </w:tc>
      </w:tr>
      <w:tr w:rsidR="00D36866" w:rsidRPr="00CE1124" w14:paraId="3EB075C8" w14:textId="77777777" w:rsidTr="00CC2B5C">
        <w:tc>
          <w:tcPr>
            <w:tcW w:w="1795" w:type="dxa"/>
          </w:tcPr>
          <w:p w14:paraId="398E0193" w14:textId="77777777" w:rsidR="00D36866" w:rsidRPr="00EF4066" w:rsidRDefault="00D36866" w:rsidP="00CC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TR</w:t>
            </w:r>
          </w:p>
        </w:tc>
        <w:tc>
          <w:tcPr>
            <w:tcW w:w="8995" w:type="dxa"/>
          </w:tcPr>
          <w:p w14:paraId="58A7E4D3" w14:textId="4285AB2E" w:rsidR="00D36866" w:rsidRPr="00EF4066" w:rsidRDefault="00D36866" w:rsidP="00D368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Transition Students:</w:t>
            </w:r>
            <w:r w:rsidR="00EF4066">
              <w:rPr>
                <w:rFonts w:ascii="Arial" w:hAnsi="Arial" w:cs="Arial"/>
              </w:rPr>
              <w:t xml:space="preserve"> </w:t>
            </w:r>
            <w:r w:rsidRPr="00EF4066">
              <w:rPr>
                <w:rFonts w:ascii="Arial" w:hAnsi="Arial" w:cs="Arial"/>
              </w:rPr>
              <w:t>Students of school age, as determined by state law, in secondary instructional programs</w:t>
            </w:r>
            <w:r w:rsidR="00EF4066">
              <w:rPr>
                <w:rFonts w:ascii="Arial" w:hAnsi="Arial" w:cs="Arial"/>
              </w:rPr>
              <w:t xml:space="preserve"> </w:t>
            </w:r>
            <w:r w:rsidRPr="00EF4066">
              <w:rPr>
                <w:rFonts w:ascii="Arial" w:hAnsi="Arial" w:cs="Arial"/>
              </w:rPr>
              <w:t>designed to supplement the traditional academic curriculum. Could include students in</w:t>
            </w:r>
          </w:p>
          <w:p w14:paraId="3C0248D2" w14:textId="77777777" w:rsidR="00D36866" w:rsidRPr="00EF4066" w:rsidRDefault="00D36866" w:rsidP="00D368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post-graduate programs at less than college level.</w:t>
            </w:r>
          </w:p>
        </w:tc>
      </w:tr>
      <w:tr w:rsidR="00D36866" w:rsidRPr="00CE1124" w14:paraId="7CB018FA" w14:textId="77777777" w:rsidTr="00CC2B5C">
        <w:tc>
          <w:tcPr>
            <w:tcW w:w="1795" w:type="dxa"/>
          </w:tcPr>
          <w:p w14:paraId="12A35D2A" w14:textId="77777777" w:rsidR="00D36866" w:rsidRPr="00EF4066" w:rsidRDefault="00D36866" w:rsidP="00CC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OR</w:t>
            </w:r>
          </w:p>
        </w:tc>
        <w:tc>
          <w:tcPr>
            <w:tcW w:w="8995" w:type="dxa"/>
          </w:tcPr>
          <w:p w14:paraId="3BBA7F3D" w14:textId="28D102BB" w:rsidR="00D36866" w:rsidRPr="00EF4066" w:rsidRDefault="00D36866" w:rsidP="00EF40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Other Registrants:</w:t>
            </w:r>
            <w:r w:rsidR="00EF4066" w:rsidRPr="00EF4066">
              <w:rPr>
                <w:rFonts w:ascii="Arial" w:hAnsi="Arial" w:cs="Arial"/>
              </w:rPr>
              <w:t xml:space="preserve"> </w:t>
            </w:r>
            <w:r w:rsidRPr="00EF4066">
              <w:rPr>
                <w:rFonts w:ascii="Arial" w:hAnsi="Arial" w:cs="Arial"/>
              </w:rPr>
              <w:t>Students of school-age, as determined by state law, who do not fall into any of the above</w:t>
            </w:r>
            <w:r w:rsidR="00EF4066" w:rsidRPr="00EF4066">
              <w:rPr>
                <w:rFonts w:ascii="Arial" w:hAnsi="Arial" w:cs="Arial"/>
              </w:rPr>
              <w:t xml:space="preserve"> </w:t>
            </w:r>
            <w:r w:rsidRPr="00EF4066">
              <w:rPr>
                <w:rFonts w:ascii="Arial" w:hAnsi="Arial" w:cs="Arial"/>
              </w:rPr>
              <w:t>placements (e.g., students enrolled in classes for nonacademic students).</w:t>
            </w:r>
          </w:p>
        </w:tc>
      </w:tr>
    </w:tbl>
    <w:p w14:paraId="4C0D33A6" w14:textId="25E1DF80" w:rsidR="00D36866" w:rsidRPr="00CE1124" w:rsidRDefault="00D36866" w:rsidP="00A932D2">
      <w:pPr>
        <w:pStyle w:val="Heading3"/>
      </w:pPr>
      <w:r w:rsidRPr="00CE1124">
        <w:t>Measurement of Vision with Correction</w:t>
      </w:r>
    </w:p>
    <w:p w14:paraId="5334DB38" w14:textId="4931F595" w:rsidR="00D36866" w:rsidRPr="00CC0F5A" w:rsidRDefault="00D36866" w:rsidP="00CC0F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CC0F5A">
        <w:rPr>
          <w:rFonts w:ascii="Arial" w:hAnsi="Arial" w:cs="Arial"/>
        </w:rPr>
        <w:t xml:space="preserve">Vision measurements performed by an ophthalmologist or an optometrist (or other </w:t>
      </w:r>
      <w:r w:rsidR="005C36C6" w:rsidRPr="00CC0F5A">
        <w:rPr>
          <w:rFonts w:ascii="Arial" w:hAnsi="Arial" w:cs="Arial"/>
        </w:rPr>
        <w:t>m</w:t>
      </w:r>
      <w:r w:rsidRPr="00CC0F5A">
        <w:rPr>
          <w:rFonts w:ascii="Arial" w:hAnsi="Arial" w:cs="Arial"/>
        </w:rPr>
        <w:t>edical doctor such as a</w:t>
      </w:r>
      <w:r w:rsidR="00EF4066" w:rsidRPr="00CC0F5A">
        <w:rPr>
          <w:rFonts w:ascii="Arial" w:hAnsi="Arial" w:cs="Arial"/>
        </w:rPr>
        <w:t xml:space="preserve"> </w:t>
      </w:r>
      <w:r w:rsidRPr="00CC0F5A">
        <w:rPr>
          <w:rFonts w:ascii="Arial" w:hAnsi="Arial" w:cs="Arial"/>
        </w:rPr>
        <w:t>neurologist for FDB) must be on file for each student. These visual measurements are to be reported using</w:t>
      </w:r>
      <w:r w:rsidR="00EF4066" w:rsidRPr="00CC0F5A">
        <w:rPr>
          <w:rFonts w:ascii="Arial" w:hAnsi="Arial" w:cs="Arial"/>
        </w:rPr>
        <w:t xml:space="preserve"> only the codes listed below.</w:t>
      </w:r>
    </w:p>
    <w:p w14:paraId="39E83936" w14:textId="10D4B3B6" w:rsidR="00D36866" w:rsidRPr="00CC0F5A" w:rsidRDefault="00D36866" w:rsidP="00CC0F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CC0F5A">
        <w:rPr>
          <w:rFonts w:ascii="Arial" w:hAnsi="Arial" w:cs="Arial"/>
        </w:rPr>
        <w:t>Visual measurements must be current within three years (201</w:t>
      </w:r>
      <w:r w:rsidR="001A3475" w:rsidRPr="00CC0F5A">
        <w:rPr>
          <w:rFonts w:ascii="Arial" w:hAnsi="Arial" w:cs="Arial"/>
        </w:rPr>
        <w:t>4</w:t>
      </w:r>
      <w:r w:rsidRPr="00CC0F5A">
        <w:rPr>
          <w:rFonts w:ascii="Arial" w:hAnsi="Arial" w:cs="Arial"/>
        </w:rPr>
        <w:t xml:space="preserve"> or later). A reasonable exception will be</w:t>
      </w:r>
      <w:r w:rsidR="00EF4066" w:rsidRPr="00CC0F5A">
        <w:rPr>
          <w:rFonts w:ascii="Arial" w:hAnsi="Arial" w:cs="Arial"/>
        </w:rPr>
        <w:t xml:space="preserve"> </w:t>
      </w:r>
      <w:r w:rsidRPr="00CC0F5A">
        <w:rPr>
          <w:rFonts w:ascii="Arial" w:hAnsi="Arial" w:cs="Arial"/>
        </w:rPr>
        <w:t>made for persons who are totally blind or whose eyes have been enucleated or who have proven nonchanging</w:t>
      </w:r>
      <w:r w:rsidR="00EF4066" w:rsidRPr="00CC0F5A">
        <w:rPr>
          <w:rFonts w:ascii="Arial" w:hAnsi="Arial" w:cs="Arial"/>
        </w:rPr>
        <w:t xml:space="preserve"> </w:t>
      </w:r>
      <w:r w:rsidRPr="00CC0F5A">
        <w:rPr>
          <w:rFonts w:ascii="Arial" w:hAnsi="Arial" w:cs="Arial"/>
        </w:rPr>
        <w:t>eye conditions.</w:t>
      </w:r>
    </w:p>
    <w:p w14:paraId="5A92A7E1" w14:textId="10A6F4C3" w:rsidR="00D36866" w:rsidRPr="00CC0F5A" w:rsidRDefault="00D36866" w:rsidP="00CC0F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CC0F5A">
        <w:rPr>
          <w:rFonts w:ascii="Arial" w:hAnsi="Arial" w:cs="Arial"/>
        </w:rPr>
        <w:lastRenderedPageBreak/>
        <w:t>The actual eye report form must be on file with the agency or school where the student attends in the event</w:t>
      </w:r>
      <w:r w:rsidR="00EF4066" w:rsidRPr="00CC0F5A">
        <w:rPr>
          <w:rFonts w:ascii="Arial" w:hAnsi="Arial" w:cs="Arial"/>
        </w:rPr>
        <w:t xml:space="preserve"> </w:t>
      </w:r>
      <w:r w:rsidRPr="00CC0F5A">
        <w:rPr>
          <w:rFonts w:ascii="Arial" w:hAnsi="Arial" w:cs="Arial"/>
        </w:rPr>
        <w:t>that an audit requires evidence of the student’s visual</w:t>
      </w:r>
      <w:r w:rsidR="00EF4066" w:rsidRPr="00CC0F5A">
        <w:rPr>
          <w:rFonts w:ascii="Arial" w:hAnsi="Arial" w:cs="Arial"/>
        </w:rPr>
        <w:t xml:space="preserve"> </w:t>
      </w:r>
      <w:r w:rsidRPr="00CC0F5A">
        <w:rPr>
          <w:rFonts w:ascii="Arial" w:hAnsi="Arial" w:cs="Arial"/>
        </w:rPr>
        <w:t>measurement</w:t>
      </w:r>
      <w:r w:rsidR="00C73075" w:rsidRPr="00CC0F5A">
        <w:rPr>
          <w:rFonts w:ascii="Arial" w:hAnsi="Arial" w:cs="Arial"/>
        </w:rPr>
        <w:t xml:space="preserve">. </w:t>
      </w:r>
      <w:r w:rsidRPr="00CC0F5A">
        <w:rPr>
          <w:rFonts w:ascii="Arial" w:hAnsi="Arial" w:cs="Arial"/>
        </w:rPr>
        <w:t xml:space="preserve">Do </w:t>
      </w:r>
      <w:r w:rsidR="00EF4066" w:rsidRPr="00CC0F5A">
        <w:rPr>
          <w:rFonts w:ascii="Arial" w:hAnsi="Arial" w:cs="Arial"/>
        </w:rPr>
        <w:t>not</w:t>
      </w:r>
      <w:r w:rsidRPr="00CC0F5A">
        <w:rPr>
          <w:rFonts w:ascii="Arial" w:hAnsi="Arial" w:cs="Arial"/>
        </w:rPr>
        <w:t xml:space="preserve"> send copies of the student’s</w:t>
      </w:r>
      <w:r w:rsidR="00EF4066" w:rsidRPr="00CC0F5A">
        <w:rPr>
          <w:rFonts w:ascii="Arial" w:hAnsi="Arial" w:cs="Arial"/>
        </w:rPr>
        <w:t xml:space="preserve"> </w:t>
      </w:r>
      <w:r w:rsidRPr="00CC0F5A">
        <w:rPr>
          <w:rFonts w:ascii="Arial" w:hAnsi="Arial" w:cs="Arial"/>
        </w:rPr>
        <w:t>eye report to the AT&amp;AEM Center.</w:t>
      </w:r>
    </w:p>
    <w:p w14:paraId="5F40543B" w14:textId="45815F96" w:rsidR="00D36866" w:rsidRPr="00CC0F5A" w:rsidRDefault="00D36866" w:rsidP="00CC0F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CC0F5A">
        <w:rPr>
          <w:rFonts w:ascii="Arial" w:hAnsi="Arial" w:cs="Arial"/>
        </w:rPr>
        <w:t>Even in the case of a noncommunicative or nonresponsive student, there must be a verification that the</w:t>
      </w:r>
      <w:r w:rsidR="00EF4066" w:rsidRPr="00CC0F5A">
        <w:rPr>
          <w:rFonts w:ascii="Arial" w:hAnsi="Arial" w:cs="Arial"/>
        </w:rPr>
        <w:t xml:space="preserve"> </w:t>
      </w:r>
      <w:r w:rsidRPr="00CC0F5A">
        <w:rPr>
          <w:rFonts w:ascii="Arial" w:hAnsi="Arial" w:cs="Arial"/>
        </w:rPr>
        <w:t>student meets the definition of blindness as outlined in these instructions.</w:t>
      </w:r>
    </w:p>
    <w:p w14:paraId="361B1A6F" w14:textId="0B255F15" w:rsidR="0085629B" w:rsidRPr="00CC0F5A" w:rsidRDefault="00D36866" w:rsidP="00CC0F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547"/>
        <w:rPr>
          <w:rFonts w:ascii="Arial" w:hAnsi="Arial" w:cs="Arial"/>
        </w:rPr>
      </w:pPr>
      <w:r w:rsidRPr="00CC0F5A">
        <w:rPr>
          <w:rFonts w:ascii="Arial" w:hAnsi="Arial" w:cs="Arial"/>
        </w:rPr>
        <w:t xml:space="preserve">Diseases of the eye are </w:t>
      </w:r>
      <w:r w:rsidR="00EF4066" w:rsidRPr="00CC0F5A">
        <w:rPr>
          <w:rFonts w:ascii="Arial" w:hAnsi="Arial" w:cs="Arial"/>
        </w:rPr>
        <w:t xml:space="preserve">not </w:t>
      </w:r>
      <w:r w:rsidRPr="00CC0F5A">
        <w:rPr>
          <w:rFonts w:ascii="Arial" w:hAnsi="Arial" w:cs="Arial"/>
        </w:rPr>
        <w:t>acceptable reporting codes.</w:t>
      </w:r>
    </w:p>
    <w:p w14:paraId="39992832" w14:textId="46605A00" w:rsidR="00D36866" w:rsidRPr="00CE1124" w:rsidRDefault="00D36866" w:rsidP="00A932D2">
      <w:pPr>
        <w:pStyle w:val="Heading3"/>
      </w:pPr>
      <w:r w:rsidRPr="00CE1124">
        <w:t>Vision Reporting Codes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Caption w:val="Vision Reporting Codes"/>
        <w:tblDescription w:val="MDB:  Meets the Definition of Blindness: a central visual acuity of 20/200 or less in the better eye with best correction (using the Snellen Chart) or a visual field of 20 degrees or less.&#10;FDB: Functions at the Definition of Blindness: when visual function meets the definition of blindness as determined by an eye care specialist (ophthalmologist or optometrist) or other medical doctor such as a&#13;&#10;neurologist. Students in this category manifest unique visual characteristics often found in conditions referred to as neurological, cortical, or cerebral visual impairment (e.g., brain injury or dysfunction).&#13;&#10;"/>
      </w:tblPr>
      <w:tblGrid>
        <w:gridCol w:w="1709"/>
        <w:gridCol w:w="7641"/>
      </w:tblGrid>
      <w:tr w:rsidR="00D36866" w:rsidRPr="00CE1124" w14:paraId="7AF0789C" w14:textId="77777777" w:rsidTr="00A932D2">
        <w:trPr>
          <w:trHeight w:val="269"/>
        </w:trPr>
        <w:tc>
          <w:tcPr>
            <w:tcW w:w="1795" w:type="dxa"/>
          </w:tcPr>
          <w:p w14:paraId="43A7E2C7" w14:textId="77777777" w:rsidR="00D36866" w:rsidRPr="00CE1124" w:rsidRDefault="00D36866" w:rsidP="00CC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E1124">
              <w:rPr>
                <w:rFonts w:ascii="Arial" w:hAnsi="Arial" w:cs="Arial"/>
                <w:b/>
              </w:rPr>
              <w:t>Reporting Code</w:t>
            </w:r>
          </w:p>
        </w:tc>
        <w:tc>
          <w:tcPr>
            <w:tcW w:w="8995" w:type="dxa"/>
          </w:tcPr>
          <w:p w14:paraId="1AB3B341" w14:textId="77777777" w:rsidR="00D36866" w:rsidRPr="00CE1124" w:rsidRDefault="00555ECC" w:rsidP="00CC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E1124">
              <w:rPr>
                <w:rFonts w:ascii="Arial" w:hAnsi="Arial" w:cs="Arial"/>
                <w:b/>
              </w:rPr>
              <w:t>Visual Measurement</w:t>
            </w:r>
          </w:p>
        </w:tc>
      </w:tr>
      <w:tr w:rsidR="00D36866" w:rsidRPr="00CE1124" w14:paraId="292F749C" w14:textId="77777777" w:rsidTr="00A932D2">
        <w:tc>
          <w:tcPr>
            <w:tcW w:w="1795" w:type="dxa"/>
          </w:tcPr>
          <w:p w14:paraId="764FFB1E" w14:textId="77777777" w:rsidR="00D36866" w:rsidRPr="00EF4066" w:rsidRDefault="00D36866" w:rsidP="00CC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MDB</w:t>
            </w:r>
          </w:p>
        </w:tc>
        <w:tc>
          <w:tcPr>
            <w:tcW w:w="8995" w:type="dxa"/>
          </w:tcPr>
          <w:p w14:paraId="1206C7E6" w14:textId="50076360" w:rsidR="00D36866" w:rsidRPr="00EF4066" w:rsidRDefault="00D36866" w:rsidP="00EF40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Meets the Definition of Blindness:</w:t>
            </w:r>
            <w:r w:rsidR="00EF4066">
              <w:rPr>
                <w:rFonts w:ascii="Arial" w:hAnsi="Arial" w:cs="Arial"/>
              </w:rPr>
              <w:t xml:space="preserve"> </w:t>
            </w:r>
            <w:r w:rsidRPr="00EF4066">
              <w:rPr>
                <w:rFonts w:ascii="Arial" w:hAnsi="Arial" w:cs="Arial"/>
              </w:rPr>
              <w:t>a central visual acuity of 20/200 or less in the better eye with best correction (using</w:t>
            </w:r>
            <w:r w:rsidR="00EF4066">
              <w:rPr>
                <w:rFonts w:ascii="Arial" w:hAnsi="Arial" w:cs="Arial"/>
              </w:rPr>
              <w:t xml:space="preserve"> </w:t>
            </w:r>
            <w:r w:rsidRPr="00EF4066">
              <w:rPr>
                <w:rFonts w:ascii="Arial" w:hAnsi="Arial" w:cs="Arial"/>
              </w:rPr>
              <w:t>the Snellen Chart) or a visual field of 20 degrees or less.</w:t>
            </w:r>
          </w:p>
        </w:tc>
      </w:tr>
      <w:tr w:rsidR="00D36866" w:rsidRPr="00CE1124" w14:paraId="125DB14D" w14:textId="77777777" w:rsidTr="00A932D2">
        <w:tc>
          <w:tcPr>
            <w:tcW w:w="1795" w:type="dxa"/>
          </w:tcPr>
          <w:p w14:paraId="1C99450A" w14:textId="43125B37" w:rsidR="00D36866" w:rsidRPr="00EF4066" w:rsidRDefault="00D36866" w:rsidP="001A3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F</w:t>
            </w:r>
            <w:r w:rsidR="001A3475" w:rsidRPr="00EF4066">
              <w:rPr>
                <w:rFonts w:ascii="Arial" w:hAnsi="Arial" w:cs="Arial"/>
              </w:rPr>
              <w:t>DB</w:t>
            </w:r>
          </w:p>
        </w:tc>
        <w:tc>
          <w:tcPr>
            <w:tcW w:w="8995" w:type="dxa"/>
          </w:tcPr>
          <w:p w14:paraId="5FA0E737" w14:textId="3818CA6F" w:rsidR="00D36866" w:rsidRPr="00EF4066" w:rsidRDefault="00D36866" w:rsidP="00D368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Functions at the Definition of Blindness:</w:t>
            </w:r>
            <w:r w:rsidR="00EF4066">
              <w:rPr>
                <w:rFonts w:ascii="Arial" w:hAnsi="Arial" w:cs="Arial"/>
              </w:rPr>
              <w:t xml:space="preserve"> </w:t>
            </w:r>
            <w:r w:rsidRPr="00EF4066">
              <w:rPr>
                <w:rFonts w:ascii="Arial" w:hAnsi="Arial" w:cs="Arial"/>
              </w:rPr>
              <w:t>when visual function meets the definition of blindness as determined by an eye care</w:t>
            </w:r>
            <w:r w:rsidR="00EF4066">
              <w:rPr>
                <w:rFonts w:ascii="Arial" w:hAnsi="Arial" w:cs="Arial"/>
              </w:rPr>
              <w:t xml:space="preserve"> </w:t>
            </w:r>
            <w:r w:rsidRPr="00EF4066">
              <w:rPr>
                <w:rFonts w:ascii="Arial" w:hAnsi="Arial" w:cs="Arial"/>
              </w:rPr>
              <w:t>specialist (ophthalmologist or optometrist) or other medical doctor such as a</w:t>
            </w:r>
          </w:p>
          <w:p w14:paraId="1A177E87" w14:textId="48DF13CD" w:rsidR="00D36866" w:rsidRPr="00EF4066" w:rsidRDefault="00D36866" w:rsidP="00EF40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neurologist. Students in this category manifest unique visual characteristics often</w:t>
            </w:r>
            <w:r w:rsidR="00EF4066">
              <w:rPr>
                <w:rFonts w:ascii="Arial" w:hAnsi="Arial" w:cs="Arial"/>
              </w:rPr>
              <w:t xml:space="preserve"> </w:t>
            </w:r>
            <w:r w:rsidRPr="00EF4066">
              <w:rPr>
                <w:rFonts w:ascii="Arial" w:hAnsi="Arial" w:cs="Arial"/>
              </w:rPr>
              <w:t>found in conditions referred to as neurological, cortical, or cerebral visual impairment</w:t>
            </w:r>
            <w:r w:rsidR="00EF4066">
              <w:rPr>
                <w:rFonts w:ascii="Arial" w:hAnsi="Arial" w:cs="Arial"/>
              </w:rPr>
              <w:t xml:space="preserve"> </w:t>
            </w:r>
            <w:r w:rsidRPr="00EF4066">
              <w:rPr>
                <w:rFonts w:ascii="Arial" w:hAnsi="Arial" w:cs="Arial"/>
              </w:rPr>
              <w:t>(e.g., brain injury or dysfunction).</w:t>
            </w:r>
          </w:p>
        </w:tc>
      </w:tr>
    </w:tbl>
    <w:p w14:paraId="0092056B" w14:textId="5360BD61" w:rsidR="00D36866" w:rsidRPr="00CE1124" w:rsidRDefault="00D36866" w:rsidP="00A932D2">
      <w:pPr>
        <w:pStyle w:val="Heading3"/>
      </w:pPr>
      <w:r w:rsidRPr="00CE1124">
        <w:t>Primary Instructional Language of Learner</w:t>
      </w:r>
    </w:p>
    <w:tbl>
      <w:tblPr>
        <w:tblStyle w:val="TableGrid"/>
        <w:tblW w:w="0" w:type="auto"/>
        <w:tblLook w:val="0420" w:firstRow="1" w:lastRow="0" w:firstColumn="0" w:lastColumn="0" w:noHBand="0" w:noVBand="1"/>
        <w:tblCaption w:val="Primary Instructional Language of Learner"/>
        <w:tblDescription w:val="English (EN)&#9;English.&#13;&#10;Spanish (SP)&#9;Spanish.&#13;&#10;Other (OT)&#9;Languages other than English and Spanish.&#13;&#10;"/>
      </w:tblPr>
      <w:tblGrid>
        <w:gridCol w:w="1672"/>
        <w:gridCol w:w="7678"/>
      </w:tblGrid>
      <w:tr w:rsidR="00D36866" w:rsidRPr="00CE1124" w14:paraId="3A33072A" w14:textId="77777777" w:rsidTr="00A932D2">
        <w:tc>
          <w:tcPr>
            <w:tcW w:w="1795" w:type="dxa"/>
          </w:tcPr>
          <w:p w14:paraId="7CE68327" w14:textId="77777777" w:rsidR="00D36866" w:rsidRPr="00EF4066" w:rsidRDefault="00555ECC" w:rsidP="00CC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English (EN)</w:t>
            </w:r>
          </w:p>
        </w:tc>
        <w:tc>
          <w:tcPr>
            <w:tcW w:w="8995" w:type="dxa"/>
          </w:tcPr>
          <w:p w14:paraId="32427298" w14:textId="77777777" w:rsidR="00D36866" w:rsidRPr="00CE1124" w:rsidRDefault="00555ECC" w:rsidP="00555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1124">
              <w:rPr>
                <w:rFonts w:ascii="Arial" w:hAnsi="Arial" w:cs="Arial"/>
              </w:rPr>
              <w:t>English.</w:t>
            </w:r>
          </w:p>
        </w:tc>
      </w:tr>
      <w:tr w:rsidR="00D36866" w:rsidRPr="00EF4066" w14:paraId="7FACE058" w14:textId="77777777" w:rsidTr="00A932D2">
        <w:tc>
          <w:tcPr>
            <w:tcW w:w="1795" w:type="dxa"/>
          </w:tcPr>
          <w:p w14:paraId="52A696D8" w14:textId="77777777" w:rsidR="00D36866" w:rsidRPr="00EF4066" w:rsidRDefault="00555ECC" w:rsidP="00CC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Spanish (SP)</w:t>
            </w:r>
          </w:p>
        </w:tc>
        <w:tc>
          <w:tcPr>
            <w:tcW w:w="8995" w:type="dxa"/>
          </w:tcPr>
          <w:p w14:paraId="5BF5CC56" w14:textId="77777777" w:rsidR="00D36866" w:rsidRPr="00EF4066" w:rsidRDefault="00555ECC" w:rsidP="00CC2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Spanish.</w:t>
            </w:r>
          </w:p>
        </w:tc>
      </w:tr>
      <w:tr w:rsidR="00D36866" w:rsidRPr="00EF4066" w14:paraId="0662248E" w14:textId="77777777" w:rsidTr="00A932D2">
        <w:tc>
          <w:tcPr>
            <w:tcW w:w="1795" w:type="dxa"/>
          </w:tcPr>
          <w:p w14:paraId="26279FC2" w14:textId="77777777" w:rsidR="00D36866" w:rsidRPr="00EF4066" w:rsidRDefault="00555ECC" w:rsidP="00CC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Other (OT)</w:t>
            </w:r>
          </w:p>
        </w:tc>
        <w:tc>
          <w:tcPr>
            <w:tcW w:w="8995" w:type="dxa"/>
          </w:tcPr>
          <w:p w14:paraId="59289ED5" w14:textId="77777777" w:rsidR="00D36866" w:rsidRPr="00EF4066" w:rsidRDefault="00555ECC" w:rsidP="00CC2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Languages other than English and Spanish.</w:t>
            </w:r>
          </w:p>
        </w:tc>
      </w:tr>
    </w:tbl>
    <w:p w14:paraId="531E0393" w14:textId="77777777" w:rsidR="00555ECC" w:rsidRPr="00CE1124" w:rsidRDefault="00555ECC" w:rsidP="00A932D2">
      <w:pPr>
        <w:pStyle w:val="Heading3"/>
      </w:pPr>
      <w:r w:rsidRPr="00CE1124">
        <w:t>Reading Medium Codes</w:t>
      </w:r>
    </w:p>
    <w:p w14:paraId="4AF23F93" w14:textId="74CA187C" w:rsidR="00555ECC" w:rsidRPr="00A932D2" w:rsidRDefault="008947B5" w:rsidP="00CC0F5A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 w:rsidRPr="00A932D2">
        <w:rPr>
          <w:rFonts w:ascii="Arial" w:hAnsi="Arial" w:cs="Arial"/>
        </w:rPr>
        <w:t>(Required Category)</w:t>
      </w:r>
    </w:p>
    <w:p w14:paraId="4A7DD52D" w14:textId="77777777" w:rsidR="00555ECC" w:rsidRPr="00CE1124" w:rsidRDefault="00555ECC" w:rsidP="00A932D2">
      <w:pPr>
        <w:pStyle w:val="Heading4"/>
      </w:pPr>
      <w:r w:rsidRPr="00CE1124">
        <w:t>PRIMARY READING MEDIUM (PRM)</w:t>
      </w:r>
    </w:p>
    <w:p w14:paraId="26E0E2D8" w14:textId="5CB53CB4" w:rsidR="00555ECC" w:rsidRPr="00EF4066" w:rsidRDefault="00555ECC" w:rsidP="00555E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4066">
        <w:rPr>
          <w:rFonts w:ascii="Arial" w:hAnsi="Arial" w:cs="Arial"/>
        </w:rPr>
        <w:t>The primary reading medium is to be reported for each student using the following reporting codes</w:t>
      </w:r>
      <w:r w:rsidR="00C73075" w:rsidRPr="00EF4066">
        <w:rPr>
          <w:rFonts w:ascii="Arial" w:hAnsi="Arial" w:cs="Arial"/>
        </w:rPr>
        <w:t xml:space="preserve">. </w:t>
      </w:r>
      <w:r w:rsidR="00EF4066">
        <w:rPr>
          <w:rFonts w:ascii="Arial" w:hAnsi="Arial" w:cs="Arial"/>
        </w:rPr>
        <w:t>Only these codes will be accepted</w:t>
      </w:r>
      <w:r w:rsidRPr="00EF4066">
        <w:rPr>
          <w:rFonts w:ascii="Arial" w:hAnsi="Arial" w:cs="Arial"/>
        </w:rPr>
        <w:t>.</w:t>
      </w:r>
    </w:p>
    <w:p w14:paraId="5BB498B5" w14:textId="51ABD639" w:rsidR="00555ECC" w:rsidRPr="00CE1124" w:rsidRDefault="00555ECC" w:rsidP="00CC0F5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F4066">
        <w:rPr>
          <w:rFonts w:ascii="Arial" w:hAnsi="Arial" w:cs="Arial"/>
        </w:rPr>
        <w:t>Note: Infants</w:t>
      </w:r>
      <w:r w:rsidRPr="00CE1124">
        <w:rPr>
          <w:rFonts w:ascii="Arial" w:hAnsi="Arial" w:cs="Arial"/>
        </w:rPr>
        <w:t xml:space="preserve"> and preschoolers identified as visual, braille, or auditory readers should be reported using the appropriate medium code.</w:t>
      </w:r>
    </w:p>
    <w:tbl>
      <w:tblPr>
        <w:tblStyle w:val="TableGrid"/>
        <w:tblW w:w="0" w:type="auto"/>
        <w:tblLook w:val="0420" w:firstRow="1" w:lastRow="0" w:firstColumn="0" w:lastColumn="0" w:noHBand="0" w:noVBand="1"/>
        <w:tblCaption w:val="Primary Reading Medium (PRM)"/>
        <w:tblDescription w:val="V&#9;Visual: Students primarily using print in their studies.&#13;&#10;B&#9;Braille: Students primarily using braille in their studies.&#13;&#10;A&#9;Auditory: Students use a reader or auditory materials to some extent.&#13;&#10;SN&#9;Symbolic/ Non-readers: students not working on or toward a readiness level; students who do not demonstrate traditional print or Braille reading potential (symbolic) readers); students do not fall into any of the above categories.&#13;&#10;PRE&#9;Pre-reader: Students working on or toward a readiness level; infants,&#13;&#10;preschoolers, or older students with reading potential.&#13;&#10;"/>
      </w:tblPr>
      <w:tblGrid>
        <w:gridCol w:w="1713"/>
        <w:gridCol w:w="7637"/>
      </w:tblGrid>
      <w:tr w:rsidR="00555ECC" w:rsidRPr="00CE1124" w14:paraId="16A7111E" w14:textId="77777777" w:rsidTr="00A932D2">
        <w:tc>
          <w:tcPr>
            <w:tcW w:w="1795" w:type="dxa"/>
          </w:tcPr>
          <w:p w14:paraId="3A533B42" w14:textId="77777777" w:rsidR="00555ECC" w:rsidRPr="00CE1124" w:rsidRDefault="00555ECC" w:rsidP="00CC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E1124">
              <w:rPr>
                <w:rFonts w:ascii="Arial" w:hAnsi="Arial" w:cs="Arial"/>
                <w:b/>
              </w:rPr>
              <w:t>Reporting Code</w:t>
            </w:r>
          </w:p>
        </w:tc>
        <w:tc>
          <w:tcPr>
            <w:tcW w:w="8995" w:type="dxa"/>
          </w:tcPr>
          <w:p w14:paraId="26153536" w14:textId="77777777" w:rsidR="00555ECC" w:rsidRPr="00CE1124" w:rsidRDefault="00555ECC" w:rsidP="00555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E1124">
              <w:rPr>
                <w:rFonts w:ascii="Arial" w:hAnsi="Arial" w:cs="Arial"/>
                <w:b/>
              </w:rPr>
              <w:t>Primary Reading Medium (PRM)</w:t>
            </w:r>
          </w:p>
        </w:tc>
      </w:tr>
      <w:tr w:rsidR="00555ECC" w:rsidRPr="00CE1124" w14:paraId="3DA435A8" w14:textId="77777777" w:rsidTr="00A932D2">
        <w:tc>
          <w:tcPr>
            <w:tcW w:w="1795" w:type="dxa"/>
          </w:tcPr>
          <w:p w14:paraId="22485DBA" w14:textId="77777777" w:rsidR="00555ECC" w:rsidRPr="00EF4066" w:rsidRDefault="00555ECC" w:rsidP="00CC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V</w:t>
            </w:r>
          </w:p>
        </w:tc>
        <w:tc>
          <w:tcPr>
            <w:tcW w:w="8995" w:type="dxa"/>
          </w:tcPr>
          <w:p w14:paraId="4D407A64" w14:textId="77777777" w:rsidR="00555ECC" w:rsidRPr="00EF4066" w:rsidRDefault="00555ECC" w:rsidP="00CC2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Visual: Students primarily using print in their studies.</w:t>
            </w:r>
          </w:p>
        </w:tc>
      </w:tr>
      <w:tr w:rsidR="00555ECC" w:rsidRPr="00CE1124" w14:paraId="3ADD00F0" w14:textId="77777777" w:rsidTr="00A932D2">
        <w:tc>
          <w:tcPr>
            <w:tcW w:w="1795" w:type="dxa"/>
          </w:tcPr>
          <w:p w14:paraId="5FAB3403" w14:textId="77777777" w:rsidR="00555ECC" w:rsidRPr="00EF4066" w:rsidRDefault="00555ECC" w:rsidP="00CC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B</w:t>
            </w:r>
          </w:p>
        </w:tc>
        <w:tc>
          <w:tcPr>
            <w:tcW w:w="8995" w:type="dxa"/>
          </w:tcPr>
          <w:p w14:paraId="45F749F4" w14:textId="77777777" w:rsidR="00555ECC" w:rsidRPr="00EF4066" w:rsidRDefault="00555ECC" w:rsidP="00CC2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Braille: Students primarily using braille in their studies.</w:t>
            </w:r>
          </w:p>
        </w:tc>
      </w:tr>
      <w:tr w:rsidR="00555ECC" w:rsidRPr="00CE1124" w14:paraId="62C43F3E" w14:textId="77777777" w:rsidTr="00A932D2">
        <w:tc>
          <w:tcPr>
            <w:tcW w:w="1795" w:type="dxa"/>
          </w:tcPr>
          <w:p w14:paraId="4B79D539" w14:textId="77777777" w:rsidR="00555ECC" w:rsidRPr="00EF4066" w:rsidRDefault="00555ECC" w:rsidP="00CC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A</w:t>
            </w:r>
          </w:p>
        </w:tc>
        <w:tc>
          <w:tcPr>
            <w:tcW w:w="8995" w:type="dxa"/>
          </w:tcPr>
          <w:p w14:paraId="0170E315" w14:textId="1F44E7D1" w:rsidR="00555ECC" w:rsidRPr="00EF4066" w:rsidRDefault="00867245" w:rsidP="00555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Auditory: Students use a reader or auditory materials to some extent.</w:t>
            </w:r>
          </w:p>
        </w:tc>
      </w:tr>
      <w:tr w:rsidR="00867245" w:rsidRPr="00CE1124" w14:paraId="6C6C90FC" w14:textId="77777777" w:rsidTr="00A932D2">
        <w:tc>
          <w:tcPr>
            <w:tcW w:w="1795" w:type="dxa"/>
          </w:tcPr>
          <w:p w14:paraId="1DBB2A95" w14:textId="65BF496D" w:rsidR="00867245" w:rsidRPr="00EF4066" w:rsidRDefault="00BD2091" w:rsidP="00CC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S</w:t>
            </w:r>
            <w:r w:rsidR="00867245" w:rsidRPr="00EF4066">
              <w:rPr>
                <w:rFonts w:ascii="Arial" w:hAnsi="Arial" w:cs="Arial"/>
              </w:rPr>
              <w:t>N</w:t>
            </w:r>
          </w:p>
        </w:tc>
        <w:tc>
          <w:tcPr>
            <w:tcW w:w="8995" w:type="dxa"/>
          </w:tcPr>
          <w:p w14:paraId="087E32B9" w14:textId="7B181FF3" w:rsidR="00867245" w:rsidRPr="00EF4066" w:rsidRDefault="00867245" w:rsidP="00271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Symbolic</w:t>
            </w:r>
            <w:r w:rsidR="00BD2091" w:rsidRPr="00EF4066">
              <w:rPr>
                <w:rFonts w:ascii="Arial" w:hAnsi="Arial" w:cs="Arial"/>
              </w:rPr>
              <w:t>/ Non-readers</w:t>
            </w:r>
            <w:r w:rsidRPr="00EF4066">
              <w:rPr>
                <w:rFonts w:ascii="Arial" w:hAnsi="Arial" w:cs="Arial"/>
              </w:rPr>
              <w:t xml:space="preserve">: </w:t>
            </w:r>
            <w:r w:rsidR="00271713" w:rsidRPr="00EF4066">
              <w:rPr>
                <w:rFonts w:ascii="Arial" w:hAnsi="Arial" w:cs="Arial"/>
              </w:rPr>
              <w:t xml:space="preserve">students not working on or toward a </w:t>
            </w:r>
            <w:r w:rsidR="00271713" w:rsidRPr="00EF4066">
              <w:rPr>
                <w:rFonts w:ascii="Arial" w:hAnsi="Arial" w:cs="Arial"/>
              </w:rPr>
              <w:lastRenderedPageBreak/>
              <w:t>readiness level; students who do not demonstrate traditional print or Braille reading potential (symbolic) readers); students do not fall into any of the above categories.</w:t>
            </w:r>
          </w:p>
        </w:tc>
      </w:tr>
      <w:tr w:rsidR="00555ECC" w:rsidRPr="00CE1124" w14:paraId="4FC8A04E" w14:textId="77777777" w:rsidTr="00A932D2">
        <w:tc>
          <w:tcPr>
            <w:tcW w:w="1795" w:type="dxa"/>
          </w:tcPr>
          <w:p w14:paraId="1C031314" w14:textId="77777777" w:rsidR="00555ECC" w:rsidRPr="00EF4066" w:rsidRDefault="00555ECC" w:rsidP="00CC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lastRenderedPageBreak/>
              <w:t>PRE</w:t>
            </w:r>
          </w:p>
        </w:tc>
        <w:tc>
          <w:tcPr>
            <w:tcW w:w="8995" w:type="dxa"/>
          </w:tcPr>
          <w:p w14:paraId="3CFF9FBC" w14:textId="77777777" w:rsidR="00555ECC" w:rsidRPr="00EF4066" w:rsidRDefault="00555ECC" w:rsidP="00555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Pre-reader: Students working on or toward a readiness level; infants,</w:t>
            </w:r>
          </w:p>
          <w:p w14:paraId="359FD55A" w14:textId="77777777" w:rsidR="00555ECC" w:rsidRPr="00EF4066" w:rsidRDefault="00555ECC" w:rsidP="00555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preschoolers, or older students with reading potential.</w:t>
            </w:r>
          </w:p>
        </w:tc>
      </w:tr>
    </w:tbl>
    <w:p w14:paraId="3CDF9256" w14:textId="4B470E8D" w:rsidR="008947B5" w:rsidRPr="00CE1124" w:rsidRDefault="008947B5" w:rsidP="00A932D2">
      <w:pPr>
        <w:pStyle w:val="Heading4"/>
      </w:pPr>
      <w:r w:rsidRPr="00CE1124">
        <w:t>SECONDARY READING MEDIUM CODES</w:t>
      </w:r>
    </w:p>
    <w:p w14:paraId="069894BF" w14:textId="6DC9CAFB" w:rsidR="008947B5" w:rsidRPr="00CE1124" w:rsidRDefault="008947B5" w:rsidP="00CC0F5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E1124">
        <w:rPr>
          <w:rFonts w:ascii="Arial" w:hAnsi="Arial" w:cs="Arial"/>
        </w:rPr>
        <w:t>In addition to listing a primary reading medium, please check all secondary reading medium so that a more</w:t>
      </w:r>
      <w:r w:rsidR="00EF4066">
        <w:rPr>
          <w:rFonts w:ascii="Arial" w:hAnsi="Arial" w:cs="Arial"/>
        </w:rPr>
        <w:t xml:space="preserve"> </w:t>
      </w:r>
      <w:r w:rsidRPr="00CE1124">
        <w:rPr>
          <w:rFonts w:ascii="Arial" w:hAnsi="Arial" w:cs="Arial"/>
        </w:rPr>
        <w:t>accurate profile of student literacy can be tracked</w:t>
      </w:r>
      <w:r w:rsidRPr="00EF4066">
        <w:rPr>
          <w:rFonts w:ascii="Arial" w:hAnsi="Arial" w:cs="Arial"/>
        </w:rPr>
        <w:t>. Please list all that apply. Note: If a student’s primary</w:t>
      </w:r>
      <w:r w:rsidR="00EF4066">
        <w:rPr>
          <w:rFonts w:ascii="Arial" w:hAnsi="Arial" w:cs="Arial"/>
        </w:rPr>
        <w:t xml:space="preserve"> </w:t>
      </w:r>
      <w:r w:rsidRPr="00CE1124">
        <w:rPr>
          <w:rFonts w:ascii="Arial" w:hAnsi="Arial" w:cs="Arial"/>
        </w:rPr>
        <w:t>reading medium was coded as non-reader, the secondary reading medium must be coded as N/A.</w:t>
      </w:r>
    </w:p>
    <w:tbl>
      <w:tblPr>
        <w:tblStyle w:val="TableGrid"/>
        <w:tblW w:w="0" w:type="auto"/>
        <w:tblLook w:val="0420" w:firstRow="1" w:lastRow="0" w:firstColumn="0" w:lastColumn="0" w:noHBand="0" w:noVBand="1"/>
        <w:tblCaption w:val="Secondary Reading Medium (SRM)"/>
        <w:tblDescription w:val="V&#9;Visual: Students use print to some extent.&#13;&#10;B&#9;Braille: Students use braille to some extent.&#13;&#10;A&#9;Auditory: Students use a reader or auditory materials to some extent.&#13;&#10;N/A&#9;Not Applicable: Nonreaders, prereaders, or students with no additional reading media.&#13;&#10;"/>
      </w:tblPr>
      <w:tblGrid>
        <w:gridCol w:w="1714"/>
        <w:gridCol w:w="7636"/>
      </w:tblGrid>
      <w:tr w:rsidR="008947B5" w:rsidRPr="00CE1124" w14:paraId="5CD91915" w14:textId="77777777" w:rsidTr="00A932D2">
        <w:tc>
          <w:tcPr>
            <w:tcW w:w="1795" w:type="dxa"/>
          </w:tcPr>
          <w:p w14:paraId="268F1C8F" w14:textId="77777777" w:rsidR="008947B5" w:rsidRPr="00CE1124" w:rsidRDefault="008947B5" w:rsidP="00CC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E1124">
              <w:rPr>
                <w:rFonts w:ascii="Arial" w:hAnsi="Arial" w:cs="Arial"/>
                <w:b/>
              </w:rPr>
              <w:t>Reporting Code</w:t>
            </w:r>
          </w:p>
        </w:tc>
        <w:tc>
          <w:tcPr>
            <w:tcW w:w="8995" w:type="dxa"/>
          </w:tcPr>
          <w:p w14:paraId="5B476420" w14:textId="77777777" w:rsidR="008947B5" w:rsidRPr="00CE1124" w:rsidRDefault="008947B5" w:rsidP="00CC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E1124">
              <w:rPr>
                <w:rFonts w:ascii="Arial" w:hAnsi="Arial" w:cs="Arial"/>
                <w:b/>
              </w:rPr>
              <w:t>Secondary Reading Medium (SRM)</w:t>
            </w:r>
          </w:p>
        </w:tc>
      </w:tr>
      <w:tr w:rsidR="008947B5" w:rsidRPr="00CE1124" w14:paraId="4A30487E" w14:textId="77777777" w:rsidTr="00A932D2">
        <w:tc>
          <w:tcPr>
            <w:tcW w:w="1795" w:type="dxa"/>
          </w:tcPr>
          <w:p w14:paraId="0FA42554" w14:textId="77777777" w:rsidR="008947B5" w:rsidRPr="00EF4066" w:rsidRDefault="008947B5" w:rsidP="00CC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V</w:t>
            </w:r>
          </w:p>
        </w:tc>
        <w:tc>
          <w:tcPr>
            <w:tcW w:w="8995" w:type="dxa"/>
          </w:tcPr>
          <w:p w14:paraId="2738D42B" w14:textId="77777777" w:rsidR="008947B5" w:rsidRPr="00EF4066" w:rsidRDefault="008947B5" w:rsidP="00367B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 xml:space="preserve">Visual: Students </w:t>
            </w:r>
            <w:r w:rsidR="00367B51" w:rsidRPr="00EF4066">
              <w:rPr>
                <w:rFonts w:ascii="Arial" w:hAnsi="Arial" w:cs="Arial"/>
              </w:rPr>
              <w:t>use print to some extent.</w:t>
            </w:r>
          </w:p>
        </w:tc>
      </w:tr>
      <w:tr w:rsidR="008947B5" w:rsidRPr="00CE1124" w14:paraId="5ABBD60C" w14:textId="77777777" w:rsidTr="00A932D2">
        <w:tc>
          <w:tcPr>
            <w:tcW w:w="1795" w:type="dxa"/>
          </w:tcPr>
          <w:p w14:paraId="3959DF91" w14:textId="77777777" w:rsidR="008947B5" w:rsidRPr="00EF4066" w:rsidRDefault="00367B51" w:rsidP="00CC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B</w:t>
            </w:r>
          </w:p>
        </w:tc>
        <w:tc>
          <w:tcPr>
            <w:tcW w:w="8995" w:type="dxa"/>
          </w:tcPr>
          <w:p w14:paraId="47E296B1" w14:textId="77777777" w:rsidR="008947B5" w:rsidRPr="00EF4066" w:rsidRDefault="008947B5" w:rsidP="00367B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 xml:space="preserve">Braille: Students </w:t>
            </w:r>
            <w:r w:rsidR="00367B51" w:rsidRPr="00EF4066">
              <w:rPr>
                <w:rFonts w:ascii="Arial" w:hAnsi="Arial" w:cs="Arial"/>
              </w:rPr>
              <w:t>use braille to some extent.</w:t>
            </w:r>
          </w:p>
        </w:tc>
      </w:tr>
      <w:tr w:rsidR="008947B5" w:rsidRPr="00CE1124" w14:paraId="44DEDC7B" w14:textId="77777777" w:rsidTr="00A932D2">
        <w:tc>
          <w:tcPr>
            <w:tcW w:w="1795" w:type="dxa"/>
          </w:tcPr>
          <w:p w14:paraId="730F6AB7" w14:textId="77777777" w:rsidR="008947B5" w:rsidRPr="00EF4066" w:rsidRDefault="008947B5" w:rsidP="00CC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A</w:t>
            </w:r>
          </w:p>
        </w:tc>
        <w:tc>
          <w:tcPr>
            <w:tcW w:w="8995" w:type="dxa"/>
          </w:tcPr>
          <w:p w14:paraId="317DDEF3" w14:textId="77777777" w:rsidR="008947B5" w:rsidRPr="00EF4066" w:rsidRDefault="00367B51" w:rsidP="00CC2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Auditory: Students use a reader or auditory materials to some extent.</w:t>
            </w:r>
          </w:p>
        </w:tc>
      </w:tr>
      <w:tr w:rsidR="008947B5" w:rsidRPr="00CE1124" w14:paraId="5BE83948" w14:textId="77777777" w:rsidTr="00A932D2">
        <w:tc>
          <w:tcPr>
            <w:tcW w:w="1795" w:type="dxa"/>
          </w:tcPr>
          <w:p w14:paraId="34BD2A1C" w14:textId="77777777" w:rsidR="008947B5" w:rsidRPr="00EF4066" w:rsidRDefault="008947B5" w:rsidP="00CC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N/A</w:t>
            </w:r>
          </w:p>
        </w:tc>
        <w:tc>
          <w:tcPr>
            <w:tcW w:w="8995" w:type="dxa"/>
          </w:tcPr>
          <w:p w14:paraId="58053C54" w14:textId="77777777" w:rsidR="008947B5" w:rsidRPr="00EF4066" w:rsidRDefault="00367B51" w:rsidP="00CC2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Not Applicable: Nonreaders, prereaders, or students with no additional reading media.</w:t>
            </w:r>
          </w:p>
        </w:tc>
      </w:tr>
    </w:tbl>
    <w:p w14:paraId="4A53B3DD" w14:textId="532FECE9" w:rsidR="008947B5" w:rsidRPr="00CE1124" w:rsidRDefault="00367B51" w:rsidP="00A932D2">
      <w:pPr>
        <w:pStyle w:val="Heading4"/>
      </w:pPr>
      <w:r w:rsidRPr="00CE1124">
        <w:t>OTHER READING MEDIUM CODES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Caption w:val="Other Reading Medium (ORM)"/>
        <w:tblDescription w:val="V&#9;Visual: Students use print to some extent.&#13;&#10;B&#9;Braille: Students use braille to some extent.&#13;&#10;A&#9;Auditory: Students use a reader or auditory materials to some extent.&#13;&#10;N/A&#9;Not Applicable: Nonreaders, prereaders, or students with no additional reading media.&#13;&#10;"/>
      </w:tblPr>
      <w:tblGrid>
        <w:gridCol w:w="1714"/>
        <w:gridCol w:w="7636"/>
      </w:tblGrid>
      <w:tr w:rsidR="008947B5" w:rsidRPr="00CE1124" w14:paraId="499A8406" w14:textId="77777777" w:rsidTr="00A932D2">
        <w:tc>
          <w:tcPr>
            <w:tcW w:w="1795" w:type="dxa"/>
          </w:tcPr>
          <w:p w14:paraId="0827F217" w14:textId="77777777" w:rsidR="008947B5" w:rsidRPr="00CE1124" w:rsidRDefault="008947B5" w:rsidP="00CC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E1124">
              <w:rPr>
                <w:rFonts w:ascii="Arial" w:hAnsi="Arial" w:cs="Arial"/>
                <w:b/>
              </w:rPr>
              <w:t>Reporting Code</w:t>
            </w:r>
          </w:p>
        </w:tc>
        <w:tc>
          <w:tcPr>
            <w:tcW w:w="8995" w:type="dxa"/>
          </w:tcPr>
          <w:p w14:paraId="7F7F16CC" w14:textId="77777777" w:rsidR="008947B5" w:rsidRPr="00CE1124" w:rsidRDefault="008947B5" w:rsidP="00CC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E1124">
              <w:rPr>
                <w:rFonts w:ascii="Arial" w:hAnsi="Arial" w:cs="Arial"/>
                <w:b/>
              </w:rPr>
              <w:t>Other Reading Medium (ORM)</w:t>
            </w:r>
          </w:p>
        </w:tc>
      </w:tr>
      <w:tr w:rsidR="00367B51" w:rsidRPr="00CE1124" w14:paraId="0A4395CE" w14:textId="77777777" w:rsidTr="00A932D2">
        <w:tc>
          <w:tcPr>
            <w:tcW w:w="1795" w:type="dxa"/>
          </w:tcPr>
          <w:p w14:paraId="47C7B405" w14:textId="77777777" w:rsidR="00367B51" w:rsidRPr="00EF4066" w:rsidRDefault="00367B51" w:rsidP="00CC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V</w:t>
            </w:r>
          </w:p>
        </w:tc>
        <w:tc>
          <w:tcPr>
            <w:tcW w:w="8995" w:type="dxa"/>
          </w:tcPr>
          <w:p w14:paraId="5351F57D" w14:textId="77777777" w:rsidR="00367B51" w:rsidRPr="00EF4066" w:rsidRDefault="00367B51" w:rsidP="00CC2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Visual: Students use print to some extent.</w:t>
            </w:r>
          </w:p>
        </w:tc>
      </w:tr>
      <w:tr w:rsidR="00367B51" w:rsidRPr="00CE1124" w14:paraId="19D749A3" w14:textId="77777777" w:rsidTr="00A932D2">
        <w:tc>
          <w:tcPr>
            <w:tcW w:w="1795" w:type="dxa"/>
          </w:tcPr>
          <w:p w14:paraId="5DD6A7B2" w14:textId="77777777" w:rsidR="00367B51" w:rsidRPr="00EF4066" w:rsidRDefault="00367B51" w:rsidP="00CC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B</w:t>
            </w:r>
          </w:p>
        </w:tc>
        <w:tc>
          <w:tcPr>
            <w:tcW w:w="8995" w:type="dxa"/>
          </w:tcPr>
          <w:p w14:paraId="0EEC49C8" w14:textId="77777777" w:rsidR="00367B51" w:rsidRPr="00EF4066" w:rsidRDefault="00367B51" w:rsidP="00CC2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Braille: Students use braille to some extent.</w:t>
            </w:r>
          </w:p>
        </w:tc>
      </w:tr>
      <w:tr w:rsidR="00367B51" w:rsidRPr="00CE1124" w14:paraId="43443392" w14:textId="77777777" w:rsidTr="00A932D2">
        <w:tc>
          <w:tcPr>
            <w:tcW w:w="1795" w:type="dxa"/>
          </w:tcPr>
          <w:p w14:paraId="7330ACBB" w14:textId="77777777" w:rsidR="00367B51" w:rsidRPr="00EF4066" w:rsidRDefault="00367B51" w:rsidP="00CC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A</w:t>
            </w:r>
          </w:p>
        </w:tc>
        <w:tc>
          <w:tcPr>
            <w:tcW w:w="8995" w:type="dxa"/>
          </w:tcPr>
          <w:p w14:paraId="2D5F7CD1" w14:textId="77777777" w:rsidR="00367B51" w:rsidRPr="00EF4066" w:rsidRDefault="00367B51" w:rsidP="00CC2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Auditory: Students use a reader or auditory materials to some extent.</w:t>
            </w:r>
          </w:p>
        </w:tc>
      </w:tr>
      <w:tr w:rsidR="00367B51" w:rsidRPr="00CE1124" w14:paraId="5FEDE712" w14:textId="77777777" w:rsidTr="00A932D2">
        <w:tc>
          <w:tcPr>
            <w:tcW w:w="1795" w:type="dxa"/>
          </w:tcPr>
          <w:p w14:paraId="2A7B331E" w14:textId="77777777" w:rsidR="00367B51" w:rsidRPr="00EF4066" w:rsidRDefault="00367B51" w:rsidP="00CC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N/A</w:t>
            </w:r>
          </w:p>
        </w:tc>
        <w:tc>
          <w:tcPr>
            <w:tcW w:w="8995" w:type="dxa"/>
          </w:tcPr>
          <w:p w14:paraId="5364DFE3" w14:textId="77777777" w:rsidR="00367B51" w:rsidRPr="00EF4066" w:rsidRDefault="00367B51" w:rsidP="00CC2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4066">
              <w:rPr>
                <w:rFonts w:ascii="Arial" w:hAnsi="Arial" w:cs="Arial"/>
              </w:rPr>
              <w:t>Not Applicable: Nonreaders, prereaders, or students with no additional reading media.</w:t>
            </w:r>
          </w:p>
        </w:tc>
      </w:tr>
    </w:tbl>
    <w:p w14:paraId="44C6950D" w14:textId="77777777" w:rsidR="008947B5" w:rsidRPr="00CE1124" w:rsidRDefault="008947B5" w:rsidP="008947B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sectPr w:rsidR="008947B5" w:rsidRPr="00CE1124" w:rsidSect="00CE1124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D95A2" w14:textId="77777777" w:rsidR="004D735B" w:rsidRDefault="004D735B" w:rsidP="00367B51">
      <w:r>
        <w:separator/>
      </w:r>
    </w:p>
  </w:endnote>
  <w:endnote w:type="continuationSeparator" w:id="0">
    <w:p w14:paraId="35EAD5E1" w14:textId="77777777" w:rsidR="004D735B" w:rsidRDefault="004D735B" w:rsidP="0036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5A746" w14:textId="77777777" w:rsidR="00367B51" w:rsidRDefault="00367B51" w:rsidP="002B1B6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0F178C" w14:textId="77777777" w:rsidR="00367B51" w:rsidRDefault="00367B51" w:rsidP="00367B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2BEFF" w14:textId="77777777" w:rsidR="00367B51" w:rsidRDefault="00367B51" w:rsidP="002B1B6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13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C6289C" w14:textId="77777777" w:rsidR="00367B51" w:rsidRDefault="00367B51" w:rsidP="00367B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13917" w14:textId="77777777" w:rsidR="004D735B" w:rsidRDefault="004D735B" w:rsidP="00367B51">
      <w:r>
        <w:separator/>
      </w:r>
    </w:p>
  </w:footnote>
  <w:footnote w:type="continuationSeparator" w:id="0">
    <w:p w14:paraId="6D0FD31D" w14:textId="77777777" w:rsidR="004D735B" w:rsidRDefault="004D735B" w:rsidP="00367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D9C66" w14:textId="5B2427C8" w:rsidR="006B7C1E" w:rsidRDefault="006B7C1E">
    <w:pPr>
      <w:pStyle w:val="Header"/>
    </w:pPr>
    <w:r w:rsidRPr="00CE1124">
      <w:rPr>
        <w:rFonts w:ascii="Arial" w:hAnsi="Arial" w:cs="Arial"/>
        <w:b/>
        <w:noProof/>
      </w:rPr>
      <w:drawing>
        <wp:inline distT="0" distB="0" distL="0" distR="0" wp14:anchorId="15171553" wp14:editId="3199D9AF">
          <wp:extent cx="463550" cy="438150"/>
          <wp:effectExtent l="0" t="0" r="6350" b="6350"/>
          <wp:docPr id="1" name="Picture 1" descr="AT&amp;AEM Cen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reen%20Shot%202016-0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64239"/>
    <w:multiLevelType w:val="hybridMultilevel"/>
    <w:tmpl w:val="9E00E10E"/>
    <w:lvl w:ilvl="0" w:tplc="3022E980">
      <w:numFmt w:val="bullet"/>
      <w:lvlText w:val="•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A58D7"/>
    <w:multiLevelType w:val="hybridMultilevel"/>
    <w:tmpl w:val="DB76D582"/>
    <w:lvl w:ilvl="0" w:tplc="3022E980">
      <w:numFmt w:val="bullet"/>
      <w:lvlText w:val="•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4CA1D90"/>
    <w:multiLevelType w:val="hybridMultilevel"/>
    <w:tmpl w:val="9156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6D"/>
    <w:rsid w:val="00043606"/>
    <w:rsid w:val="00052689"/>
    <w:rsid w:val="000C73EC"/>
    <w:rsid w:val="00104AD6"/>
    <w:rsid w:val="001A3475"/>
    <w:rsid w:val="00202A09"/>
    <w:rsid w:val="00207C05"/>
    <w:rsid w:val="00271713"/>
    <w:rsid w:val="002F147D"/>
    <w:rsid w:val="00367B51"/>
    <w:rsid w:val="00382AF8"/>
    <w:rsid w:val="00482B97"/>
    <w:rsid w:val="004A596F"/>
    <w:rsid w:val="004D735B"/>
    <w:rsid w:val="004F5409"/>
    <w:rsid w:val="00555ECC"/>
    <w:rsid w:val="005C36C6"/>
    <w:rsid w:val="005D58CC"/>
    <w:rsid w:val="00680AD4"/>
    <w:rsid w:val="006B7C1E"/>
    <w:rsid w:val="006D4162"/>
    <w:rsid w:val="007F5A74"/>
    <w:rsid w:val="0085629B"/>
    <w:rsid w:val="00867245"/>
    <w:rsid w:val="008947B5"/>
    <w:rsid w:val="008A2DC2"/>
    <w:rsid w:val="008B5F06"/>
    <w:rsid w:val="00951E74"/>
    <w:rsid w:val="00994DE7"/>
    <w:rsid w:val="00A268AE"/>
    <w:rsid w:val="00A932D2"/>
    <w:rsid w:val="00AD556F"/>
    <w:rsid w:val="00B14554"/>
    <w:rsid w:val="00B232BD"/>
    <w:rsid w:val="00B24FE0"/>
    <w:rsid w:val="00BD2091"/>
    <w:rsid w:val="00C13128"/>
    <w:rsid w:val="00C413A7"/>
    <w:rsid w:val="00C421B5"/>
    <w:rsid w:val="00C73075"/>
    <w:rsid w:val="00C940CD"/>
    <w:rsid w:val="00CC0F5A"/>
    <w:rsid w:val="00CE1124"/>
    <w:rsid w:val="00CE318E"/>
    <w:rsid w:val="00CF5C24"/>
    <w:rsid w:val="00D36866"/>
    <w:rsid w:val="00DB7E85"/>
    <w:rsid w:val="00DD0374"/>
    <w:rsid w:val="00EE274F"/>
    <w:rsid w:val="00EF4066"/>
    <w:rsid w:val="00F46171"/>
    <w:rsid w:val="00F6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355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6866"/>
  </w:style>
  <w:style w:type="paragraph" w:styleId="Heading1">
    <w:name w:val="heading 1"/>
    <w:basedOn w:val="Normal"/>
    <w:next w:val="Normal"/>
    <w:link w:val="Heading1Char"/>
    <w:uiPriority w:val="9"/>
    <w:qFormat/>
    <w:rsid w:val="00A932D2"/>
    <w:pPr>
      <w:keepNext/>
      <w:keepLines/>
      <w:spacing w:before="12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32D2"/>
    <w:pPr>
      <w:keepNext/>
      <w:keepLines/>
      <w:spacing w:before="280" w:after="240"/>
      <w:jc w:val="center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32D2"/>
    <w:pPr>
      <w:keepNext/>
      <w:keepLines/>
      <w:spacing w:before="280" w:after="240"/>
      <w:jc w:val="center"/>
      <w:outlineLvl w:val="2"/>
    </w:pPr>
    <w:rPr>
      <w:rFonts w:ascii="Arial" w:eastAsiaTheme="majorEastAsia" w:hAnsi="Arial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32D2"/>
    <w:pPr>
      <w:keepNext/>
      <w:keepLines/>
      <w:spacing w:before="280" w:after="240"/>
      <w:jc w:val="center"/>
      <w:outlineLvl w:val="3"/>
    </w:pPr>
    <w:rPr>
      <w:rFonts w:ascii="Arial" w:eastAsiaTheme="majorEastAsia" w:hAnsi="Arial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67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B51"/>
  </w:style>
  <w:style w:type="character" w:styleId="PageNumber">
    <w:name w:val="page number"/>
    <w:basedOn w:val="DefaultParagraphFont"/>
    <w:uiPriority w:val="99"/>
    <w:semiHidden/>
    <w:unhideWhenUsed/>
    <w:rsid w:val="00367B51"/>
  </w:style>
  <w:style w:type="paragraph" w:styleId="Header">
    <w:name w:val="header"/>
    <w:basedOn w:val="Normal"/>
    <w:link w:val="HeaderChar"/>
    <w:uiPriority w:val="99"/>
    <w:unhideWhenUsed/>
    <w:rsid w:val="006B7C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C1E"/>
  </w:style>
  <w:style w:type="character" w:customStyle="1" w:styleId="Heading1Char">
    <w:name w:val="Heading 1 Char"/>
    <w:basedOn w:val="DefaultParagraphFont"/>
    <w:link w:val="Heading1"/>
    <w:uiPriority w:val="9"/>
    <w:rsid w:val="00A932D2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ListParagraph">
    <w:name w:val="List Paragraph"/>
    <w:basedOn w:val="Normal"/>
    <w:uiPriority w:val="34"/>
    <w:qFormat/>
    <w:rsid w:val="00CC0F5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932D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32D2"/>
    <w:rPr>
      <w:rFonts w:ascii="Arial" w:eastAsiaTheme="majorEastAsia" w:hAnsi="Arial" w:cstheme="majorBidi"/>
      <w:b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A932D2"/>
    <w:rPr>
      <w:rFonts w:ascii="Arial" w:eastAsiaTheme="majorEastAsia" w:hAnsi="Arial" w:cstheme="majorBidi"/>
      <w:b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OCALI</Company>
  <LinksUpToDate>false</LinksUpToDate>
  <CharactersWithSpaces>10472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Guideliens for the   2019 Federal Quota Registration of Blind Students  </dc:title>
  <dc:subject>Federal Quota</dc:subject>
  <dc:creator>AT&amp;AEM Center</dc:creator>
  <cp:keywords/>
  <dc:description/>
  <cp:lastModifiedBy>Judy Siens</cp:lastModifiedBy>
  <cp:revision>2</cp:revision>
  <cp:lastPrinted>2018-09-21T18:24:00Z</cp:lastPrinted>
  <dcterms:created xsi:type="dcterms:W3CDTF">2019-01-08T17:30:00Z</dcterms:created>
  <dcterms:modified xsi:type="dcterms:W3CDTF">2019-01-08T17:30:00Z</dcterms:modified>
  <cp:category/>
</cp:coreProperties>
</file>